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A776F4" w14:textId="328A2CE1" w:rsidR="008B1CC9" w:rsidRPr="004D2990" w:rsidRDefault="004D2990" w:rsidP="004D2990">
      <w:pPr>
        <w:spacing w:line="360" w:lineRule="auto"/>
        <w:ind w:right="-285"/>
        <w:jc w:val="both"/>
        <w:rPr>
          <w:rFonts w:ascii="Verdana" w:hAnsi="Verdana"/>
          <w:b/>
          <w:bCs/>
          <w:sz w:val="24"/>
          <w:szCs w:val="24"/>
        </w:rPr>
      </w:pPr>
      <w:r w:rsidRPr="004D2990">
        <w:rPr>
          <w:rFonts w:ascii="Verdana" w:hAnsi="Verdana"/>
          <w:b/>
          <w:bCs/>
          <w:sz w:val="24"/>
          <w:szCs w:val="24"/>
        </w:rPr>
        <w:t xml:space="preserve">RESPONSABILIDADE CIVIL E </w:t>
      </w:r>
      <w:r w:rsidR="009C2236">
        <w:rPr>
          <w:rFonts w:ascii="Verdana" w:hAnsi="Verdana"/>
          <w:b/>
          <w:bCs/>
          <w:sz w:val="24"/>
          <w:szCs w:val="24"/>
        </w:rPr>
        <w:t>CRIMIN</w:t>
      </w:r>
      <w:r w:rsidRPr="004D2990">
        <w:rPr>
          <w:rFonts w:ascii="Verdana" w:hAnsi="Verdana"/>
          <w:b/>
          <w:bCs/>
          <w:sz w:val="24"/>
          <w:szCs w:val="24"/>
        </w:rPr>
        <w:t xml:space="preserve">AL DO EMPREGADOR </w:t>
      </w:r>
      <w:r w:rsidR="00A4449B">
        <w:rPr>
          <w:rFonts w:ascii="Verdana" w:hAnsi="Verdana"/>
          <w:b/>
          <w:bCs/>
          <w:sz w:val="24"/>
          <w:szCs w:val="24"/>
        </w:rPr>
        <w:t xml:space="preserve">E SEUS PREPOSTOS </w:t>
      </w:r>
      <w:r w:rsidRPr="004D2990">
        <w:rPr>
          <w:rFonts w:ascii="Verdana" w:hAnsi="Verdana"/>
          <w:b/>
          <w:bCs/>
          <w:sz w:val="24"/>
          <w:szCs w:val="24"/>
        </w:rPr>
        <w:t xml:space="preserve">POR DANOS À SAÚDE DO TRABALHADOR SOB A ÓTICA DA </w:t>
      </w:r>
      <w:r w:rsidR="00A4449B">
        <w:rPr>
          <w:rFonts w:ascii="Verdana" w:hAnsi="Verdana"/>
          <w:b/>
          <w:bCs/>
          <w:sz w:val="24"/>
          <w:szCs w:val="24"/>
        </w:rPr>
        <w:t>SAÚDE E SEGURANÇA DO TRABALHO</w:t>
      </w:r>
      <w:r w:rsidR="00FD330A">
        <w:rPr>
          <w:rFonts w:ascii="Verdana" w:hAnsi="Verdana"/>
          <w:b/>
          <w:bCs/>
          <w:sz w:val="24"/>
          <w:szCs w:val="24"/>
        </w:rPr>
        <w:t xml:space="preserve"> – REINTRODUZINDO UMA DISCUSSÃO PERTINENTE</w:t>
      </w:r>
    </w:p>
    <w:p w14:paraId="52F484FD" w14:textId="02400F15" w:rsidR="00243B6D" w:rsidRDefault="008062BC" w:rsidP="00A95B02">
      <w:pPr>
        <w:spacing w:line="360" w:lineRule="auto"/>
        <w:ind w:right="-285" w:firstLine="708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 caracterização e dimensi</w:t>
      </w:r>
      <w:r w:rsidR="00263568">
        <w:rPr>
          <w:rFonts w:ascii="Verdana" w:hAnsi="Verdana"/>
          <w:sz w:val="24"/>
          <w:szCs w:val="24"/>
        </w:rPr>
        <w:t>onamento</w:t>
      </w:r>
      <w:r>
        <w:rPr>
          <w:rFonts w:ascii="Verdana" w:hAnsi="Verdana"/>
          <w:sz w:val="24"/>
          <w:szCs w:val="24"/>
        </w:rPr>
        <w:t xml:space="preserve"> da responsabili</w:t>
      </w:r>
      <w:r w:rsidR="00263568">
        <w:rPr>
          <w:rFonts w:ascii="Verdana" w:hAnsi="Verdana"/>
          <w:sz w:val="24"/>
          <w:szCs w:val="24"/>
        </w:rPr>
        <w:t>dade</w:t>
      </w:r>
      <w:r>
        <w:rPr>
          <w:rFonts w:ascii="Verdana" w:hAnsi="Verdana"/>
          <w:sz w:val="24"/>
          <w:szCs w:val="24"/>
        </w:rPr>
        <w:t xml:space="preserve"> civil ou criminal não é atributo do médico especialista em medicina legal, mas função </w:t>
      </w:r>
      <w:r w:rsidR="00263568">
        <w:rPr>
          <w:rFonts w:ascii="Verdana" w:hAnsi="Verdana"/>
          <w:sz w:val="24"/>
          <w:szCs w:val="24"/>
        </w:rPr>
        <w:t xml:space="preserve">dos magistrados, que tem a faculdade de interpretar a lei para aplicá-la. </w:t>
      </w:r>
      <w:r w:rsidR="00243B6D">
        <w:rPr>
          <w:rFonts w:ascii="Verdana" w:hAnsi="Verdana"/>
          <w:sz w:val="24"/>
          <w:szCs w:val="24"/>
        </w:rPr>
        <w:t xml:space="preserve">Assim de início, importa alertar ao leitor que este texto não tem a pretensão de esgotar um assunto, mas ao contrário, </w:t>
      </w:r>
      <w:r w:rsidR="005B7A1E">
        <w:rPr>
          <w:rFonts w:ascii="Verdana" w:hAnsi="Verdana"/>
          <w:sz w:val="24"/>
          <w:szCs w:val="24"/>
        </w:rPr>
        <w:t xml:space="preserve">almeja </w:t>
      </w:r>
      <w:r w:rsidR="003703A9">
        <w:rPr>
          <w:rFonts w:ascii="Verdana" w:hAnsi="Verdana"/>
          <w:sz w:val="24"/>
          <w:szCs w:val="24"/>
        </w:rPr>
        <w:t xml:space="preserve">apenas </w:t>
      </w:r>
      <w:r w:rsidR="005B7A1E">
        <w:rPr>
          <w:rFonts w:ascii="Verdana" w:hAnsi="Verdana"/>
          <w:sz w:val="24"/>
          <w:szCs w:val="24"/>
        </w:rPr>
        <w:t xml:space="preserve">trazer à luz um tema </w:t>
      </w:r>
      <w:r w:rsidR="00026F7E">
        <w:rPr>
          <w:rFonts w:ascii="Verdana" w:hAnsi="Verdana"/>
          <w:sz w:val="24"/>
          <w:szCs w:val="24"/>
        </w:rPr>
        <w:t>incômodo</w:t>
      </w:r>
      <w:r w:rsidR="003703A9">
        <w:rPr>
          <w:rFonts w:ascii="Verdana" w:hAnsi="Verdana"/>
          <w:sz w:val="24"/>
          <w:szCs w:val="24"/>
        </w:rPr>
        <w:t>, para promover um debate necessário</w:t>
      </w:r>
      <w:r w:rsidR="00026F7E">
        <w:rPr>
          <w:rFonts w:ascii="Verdana" w:hAnsi="Verdana"/>
          <w:sz w:val="24"/>
          <w:szCs w:val="24"/>
        </w:rPr>
        <w:t>.</w:t>
      </w:r>
    </w:p>
    <w:p w14:paraId="77B8F9FA" w14:textId="67A9A9DF" w:rsidR="004D2990" w:rsidRDefault="00263568" w:rsidP="00A95B02">
      <w:pPr>
        <w:spacing w:line="360" w:lineRule="auto"/>
        <w:ind w:right="-285" w:firstLine="708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Os especialistas em medicin</w:t>
      </w:r>
      <w:r w:rsidR="00A95B02">
        <w:rPr>
          <w:rFonts w:ascii="Verdana" w:hAnsi="Verdana"/>
          <w:sz w:val="24"/>
          <w:szCs w:val="24"/>
        </w:rPr>
        <w:t xml:space="preserve">a forense (Medicina Legal e </w:t>
      </w:r>
      <w:r w:rsidR="003703A9">
        <w:rPr>
          <w:rFonts w:ascii="Verdana" w:hAnsi="Verdana"/>
          <w:sz w:val="24"/>
          <w:szCs w:val="24"/>
        </w:rPr>
        <w:t>suas subespecialidades</w:t>
      </w:r>
      <w:r w:rsidR="00A95B02">
        <w:rPr>
          <w:rFonts w:ascii="Verdana" w:hAnsi="Verdana"/>
          <w:sz w:val="24"/>
          <w:szCs w:val="24"/>
        </w:rPr>
        <w:t>), via de regra, atuam como auxiliares da justiça (nomeados pel</w:t>
      </w:r>
      <w:r w:rsidR="00FA59A2">
        <w:rPr>
          <w:rFonts w:ascii="Verdana" w:hAnsi="Verdana"/>
          <w:sz w:val="24"/>
          <w:szCs w:val="24"/>
        </w:rPr>
        <w:t>as autoridades</w:t>
      </w:r>
      <w:r w:rsidR="00A95B02">
        <w:rPr>
          <w:rFonts w:ascii="Verdana" w:hAnsi="Verdana"/>
          <w:sz w:val="24"/>
          <w:szCs w:val="24"/>
        </w:rPr>
        <w:t>)</w:t>
      </w:r>
      <w:r w:rsidR="00FA59A2">
        <w:rPr>
          <w:rFonts w:ascii="Verdana" w:hAnsi="Verdana"/>
          <w:sz w:val="24"/>
          <w:szCs w:val="24"/>
        </w:rPr>
        <w:t xml:space="preserve">, ou como assistentes técnicos das partes envolvidas, estudando assuntos de suma importância para análise </w:t>
      </w:r>
      <w:r w:rsidR="007D64ED">
        <w:rPr>
          <w:rFonts w:ascii="Verdana" w:hAnsi="Verdana"/>
          <w:sz w:val="24"/>
          <w:szCs w:val="24"/>
        </w:rPr>
        <w:t>do Juízo:</w:t>
      </w:r>
    </w:p>
    <w:p w14:paraId="57ECCE95" w14:textId="5FFD3A61" w:rsidR="007D64ED" w:rsidRDefault="007D64ED" w:rsidP="007D64ED">
      <w:pPr>
        <w:pStyle w:val="PargrafodaLista"/>
        <w:numPr>
          <w:ilvl w:val="0"/>
          <w:numId w:val="1"/>
        </w:numPr>
        <w:spacing w:line="360" w:lineRule="auto"/>
        <w:ind w:right="-285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 existência </w:t>
      </w:r>
      <w:r w:rsidR="00091CA2">
        <w:rPr>
          <w:rFonts w:ascii="Verdana" w:hAnsi="Verdana"/>
          <w:sz w:val="24"/>
          <w:szCs w:val="24"/>
        </w:rPr>
        <w:t xml:space="preserve">efetiva </w:t>
      </w:r>
      <w:r>
        <w:rPr>
          <w:rFonts w:ascii="Verdana" w:hAnsi="Verdana"/>
          <w:sz w:val="24"/>
          <w:szCs w:val="24"/>
        </w:rPr>
        <w:t>de dano físico ou doença;</w:t>
      </w:r>
    </w:p>
    <w:p w14:paraId="047E8C64" w14:textId="03A507BF" w:rsidR="007D64ED" w:rsidRDefault="007D64ED" w:rsidP="007D64ED">
      <w:pPr>
        <w:pStyle w:val="PargrafodaLista"/>
        <w:numPr>
          <w:ilvl w:val="0"/>
          <w:numId w:val="1"/>
        </w:numPr>
        <w:spacing w:line="360" w:lineRule="auto"/>
        <w:ind w:right="-285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 dimensão do dano físico ou doença e sua repercussão na vida do periciando</w:t>
      </w:r>
      <w:r w:rsidR="00091CA2">
        <w:rPr>
          <w:rFonts w:ascii="Verdana" w:hAnsi="Verdana"/>
          <w:sz w:val="24"/>
          <w:szCs w:val="24"/>
        </w:rPr>
        <w:t>;</w:t>
      </w:r>
    </w:p>
    <w:p w14:paraId="6D26EA73" w14:textId="508E2121" w:rsidR="00F542AC" w:rsidRDefault="00F542AC" w:rsidP="007D64ED">
      <w:pPr>
        <w:pStyle w:val="PargrafodaLista"/>
        <w:numPr>
          <w:ilvl w:val="0"/>
          <w:numId w:val="1"/>
        </w:numPr>
        <w:spacing w:line="360" w:lineRule="auto"/>
        <w:ind w:right="-285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 acometimento da capacidade laboral, e suas características (total ou parcial? / temporária ou permanente?);</w:t>
      </w:r>
    </w:p>
    <w:p w14:paraId="7799CF31" w14:textId="38AB517F" w:rsidR="00511B16" w:rsidRDefault="00511B16" w:rsidP="007D64ED">
      <w:pPr>
        <w:pStyle w:val="PargrafodaLista"/>
        <w:numPr>
          <w:ilvl w:val="0"/>
          <w:numId w:val="1"/>
        </w:numPr>
        <w:spacing w:line="360" w:lineRule="auto"/>
        <w:ind w:right="-285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 ocorrência de simulação ou a tentativa de </w:t>
      </w:r>
      <w:proofErr w:type="spellStart"/>
      <w:r>
        <w:rPr>
          <w:rFonts w:ascii="Verdana" w:hAnsi="Verdana"/>
          <w:sz w:val="24"/>
          <w:szCs w:val="24"/>
        </w:rPr>
        <w:t>metassimulação</w:t>
      </w:r>
      <w:proofErr w:type="spellEnd"/>
      <w:r>
        <w:rPr>
          <w:rFonts w:ascii="Verdana" w:hAnsi="Verdana"/>
          <w:sz w:val="24"/>
          <w:szCs w:val="24"/>
        </w:rPr>
        <w:t xml:space="preserve"> (exagerar nos sintomas ou limitações promovidos por uma doença ou lesão, em função de interesses se</w:t>
      </w:r>
      <w:r w:rsidR="00D65FF8">
        <w:rPr>
          <w:rFonts w:ascii="Verdana" w:hAnsi="Verdana"/>
          <w:sz w:val="24"/>
          <w:szCs w:val="24"/>
        </w:rPr>
        <w:t>c</w:t>
      </w:r>
      <w:r>
        <w:rPr>
          <w:rFonts w:ascii="Verdana" w:hAnsi="Verdana"/>
          <w:sz w:val="24"/>
          <w:szCs w:val="24"/>
        </w:rPr>
        <w:t>undários);</w:t>
      </w:r>
    </w:p>
    <w:p w14:paraId="4576FF2C" w14:textId="15BECEC5" w:rsidR="00091CA2" w:rsidRDefault="00091CA2" w:rsidP="007D64ED">
      <w:pPr>
        <w:pStyle w:val="PargrafodaLista"/>
        <w:numPr>
          <w:ilvl w:val="0"/>
          <w:numId w:val="1"/>
        </w:numPr>
        <w:spacing w:line="360" w:lineRule="auto"/>
        <w:ind w:right="-285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 nexo causal entre a doença, dano ou lesão e o suposto agente, objeto da perícia;</w:t>
      </w:r>
    </w:p>
    <w:p w14:paraId="540F0C32" w14:textId="690D2025" w:rsidR="00091CA2" w:rsidRDefault="00D65FF8" w:rsidP="007D64ED">
      <w:pPr>
        <w:pStyle w:val="PargrafodaLista"/>
        <w:numPr>
          <w:ilvl w:val="0"/>
          <w:numId w:val="1"/>
        </w:numPr>
        <w:spacing w:line="360" w:lineRule="auto"/>
        <w:ind w:right="-285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As causas dos acidentes, quando identificáveis na perícia médic</w:t>
      </w:r>
      <w:r w:rsidR="00AA0F5D">
        <w:rPr>
          <w:rFonts w:ascii="Verdana" w:hAnsi="Verdana"/>
          <w:sz w:val="24"/>
          <w:szCs w:val="24"/>
        </w:rPr>
        <w:t>o-legal</w:t>
      </w:r>
      <w:r>
        <w:rPr>
          <w:rFonts w:ascii="Verdana" w:hAnsi="Verdana"/>
          <w:sz w:val="24"/>
          <w:szCs w:val="24"/>
        </w:rPr>
        <w:t>;</w:t>
      </w:r>
    </w:p>
    <w:p w14:paraId="379722CE" w14:textId="58F59A82" w:rsidR="009D6BC0" w:rsidRDefault="009D6BC0" w:rsidP="007D64ED">
      <w:pPr>
        <w:pStyle w:val="PargrafodaLista"/>
        <w:numPr>
          <w:ilvl w:val="0"/>
          <w:numId w:val="1"/>
        </w:numPr>
        <w:spacing w:line="360" w:lineRule="auto"/>
        <w:ind w:right="-285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Existência de condições insalubres e/ou perigosas de trabalho;</w:t>
      </w:r>
    </w:p>
    <w:p w14:paraId="6135626A" w14:textId="45661422" w:rsidR="009D6BC0" w:rsidRDefault="009D6BC0" w:rsidP="007D64ED">
      <w:pPr>
        <w:pStyle w:val="PargrafodaLista"/>
        <w:numPr>
          <w:ilvl w:val="0"/>
          <w:numId w:val="1"/>
        </w:numPr>
        <w:spacing w:line="360" w:lineRule="auto"/>
        <w:ind w:right="-285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Cumprimento de Normas e Regulamentações Técnicas </w:t>
      </w:r>
      <w:r w:rsidR="00F64510">
        <w:rPr>
          <w:rFonts w:ascii="Verdana" w:hAnsi="Verdana"/>
          <w:sz w:val="24"/>
          <w:szCs w:val="24"/>
        </w:rPr>
        <w:t xml:space="preserve">e </w:t>
      </w:r>
      <w:proofErr w:type="spellStart"/>
      <w:r w:rsidR="00F64510">
        <w:rPr>
          <w:rFonts w:ascii="Verdana" w:hAnsi="Verdana"/>
          <w:sz w:val="24"/>
          <w:szCs w:val="24"/>
        </w:rPr>
        <w:t>su</w:t>
      </w:r>
      <w:proofErr w:type="spellEnd"/>
    </w:p>
    <w:p w14:paraId="054FB7E5" w14:textId="5CCE80D4" w:rsidR="00D65FF8" w:rsidRDefault="00D65FF8" w:rsidP="007D64ED">
      <w:pPr>
        <w:pStyle w:val="PargrafodaLista"/>
        <w:numPr>
          <w:ilvl w:val="0"/>
          <w:numId w:val="1"/>
        </w:numPr>
        <w:spacing w:line="360" w:lineRule="auto"/>
        <w:ind w:right="-285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Etc...</w:t>
      </w:r>
    </w:p>
    <w:p w14:paraId="655A86E8" w14:textId="77777777" w:rsidR="00A619DA" w:rsidRDefault="00EC5A03" w:rsidP="00577470">
      <w:pPr>
        <w:spacing w:line="360" w:lineRule="auto"/>
        <w:ind w:right="-285" w:firstLine="708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>Segundo o Vocabulário Jurídico</w:t>
      </w:r>
      <w:r w:rsidR="0092088E">
        <w:rPr>
          <w:rFonts w:ascii="Verdana" w:hAnsi="Verdana"/>
          <w:sz w:val="24"/>
          <w:szCs w:val="24"/>
        </w:rPr>
        <w:t xml:space="preserve"> </w:t>
      </w:r>
      <w:r w:rsidR="0092088E">
        <w:rPr>
          <w:rStyle w:val="Refdenotaderodap"/>
          <w:rFonts w:ascii="Verdana" w:hAnsi="Verdana"/>
          <w:sz w:val="24"/>
          <w:szCs w:val="24"/>
        </w:rPr>
        <w:footnoteReference w:id="1"/>
      </w:r>
      <w:r>
        <w:rPr>
          <w:rFonts w:ascii="Verdana" w:hAnsi="Verdana"/>
          <w:sz w:val="24"/>
          <w:szCs w:val="24"/>
        </w:rPr>
        <w:t>,</w:t>
      </w:r>
      <w:r w:rsidR="00577470">
        <w:rPr>
          <w:rFonts w:ascii="Verdana" w:hAnsi="Verdana"/>
          <w:sz w:val="24"/>
          <w:szCs w:val="24"/>
        </w:rPr>
        <w:t xml:space="preserve"> Responsabilidade Legal é </w:t>
      </w:r>
      <w:r w:rsidR="00577470" w:rsidRPr="00577470">
        <w:rPr>
          <w:rFonts w:ascii="Verdana" w:hAnsi="Verdana"/>
          <w:sz w:val="24"/>
          <w:szCs w:val="24"/>
        </w:rPr>
        <w:t>a que se deriva de uma imposição ou regra legal,</w:t>
      </w:r>
      <w:r w:rsidR="00577470">
        <w:rPr>
          <w:rFonts w:ascii="Verdana" w:hAnsi="Verdana"/>
          <w:sz w:val="24"/>
          <w:szCs w:val="24"/>
        </w:rPr>
        <w:t xml:space="preserve"> </w:t>
      </w:r>
      <w:r w:rsidR="00577470" w:rsidRPr="00577470">
        <w:rPr>
          <w:rFonts w:ascii="Verdana" w:hAnsi="Verdana"/>
          <w:sz w:val="24"/>
          <w:szCs w:val="24"/>
        </w:rPr>
        <w:t>distinguindo-se, assim, da responsabilidade contratual.</w:t>
      </w:r>
      <w:r w:rsidR="00577470">
        <w:rPr>
          <w:rFonts w:ascii="Verdana" w:hAnsi="Verdana"/>
          <w:sz w:val="24"/>
          <w:szCs w:val="24"/>
        </w:rPr>
        <w:t xml:space="preserve"> </w:t>
      </w:r>
      <w:r w:rsidR="00577470" w:rsidRPr="00577470">
        <w:rPr>
          <w:rFonts w:ascii="Verdana" w:hAnsi="Verdana"/>
          <w:sz w:val="24"/>
          <w:szCs w:val="24"/>
        </w:rPr>
        <w:t>A responsabilidade legal, assim, determina a obrigação de reparar o dano, mesmo por fato de</w:t>
      </w:r>
      <w:r w:rsidR="00577470">
        <w:rPr>
          <w:rFonts w:ascii="Verdana" w:hAnsi="Verdana"/>
          <w:sz w:val="24"/>
          <w:szCs w:val="24"/>
        </w:rPr>
        <w:t xml:space="preserve"> </w:t>
      </w:r>
      <w:r w:rsidR="00577470" w:rsidRPr="00577470">
        <w:rPr>
          <w:rFonts w:ascii="Verdana" w:hAnsi="Verdana"/>
          <w:sz w:val="24"/>
          <w:szCs w:val="24"/>
        </w:rPr>
        <w:t>outrem, nos casos em que a própria lei especifica.</w:t>
      </w:r>
      <w:r>
        <w:rPr>
          <w:rFonts w:ascii="Verdana" w:hAnsi="Verdana"/>
          <w:sz w:val="24"/>
          <w:szCs w:val="24"/>
        </w:rPr>
        <w:t xml:space="preserve"> </w:t>
      </w:r>
    </w:p>
    <w:p w14:paraId="79313B06" w14:textId="3D46FDD4" w:rsidR="00EC5A03" w:rsidRDefault="00A619DA" w:rsidP="00577470">
      <w:pPr>
        <w:spacing w:line="360" w:lineRule="auto"/>
        <w:ind w:right="-285" w:firstLine="708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</w:t>
      </w:r>
      <w:r w:rsidR="006C0EF4">
        <w:rPr>
          <w:rFonts w:ascii="Verdana" w:hAnsi="Verdana"/>
          <w:sz w:val="24"/>
          <w:szCs w:val="24"/>
        </w:rPr>
        <w:t>a</w:t>
      </w:r>
      <w:r>
        <w:rPr>
          <w:rFonts w:ascii="Verdana" w:hAnsi="Verdana"/>
          <w:sz w:val="24"/>
          <w:szCs w:val="24"/>
        </w:rPr>
        <w:t xml:space="preserve">ra De plácido e silva </w:t>
      </w:r>
      <w:r>
        <w:rPr>
          <w:rStyle w:val="Refdenotaderodap"/>
          <w:rFonts w:ascii="Verdana" w:hAnsi="Verdana"/>
          <w:sz w:val="24"/>
          <w:szCs w:val="24"/>
        </w:rPr>
        <w:footnoteReference w:id="2"/>
      </w:r>
      <w:r w:rsidR="006C0EF4">
        <w:rPr>
          <w:rFonts w:ascii="Verdana" w:hAnsi="Verdana"/>
          <w:sz w:val="24"/>
          <w:szCs w:val="24"/>
        </w:rPr>
        <w:t xml:space="preserve">, </w:t>
      </w:r>
      <w:r w:rsidR="00EC5A03">
        <w:rPr>
          <w:rFonts w:ascii="Verdana" w:hAnsi="Verdana"/>
          <w:sz w:val="24"/>
          <w:szCs w:val="24"/>
        </w:rPr>
        <w:t xml:space="preserve">Responsabilidade Civil é </w:t>
      </w:r>
      <w:r w:rsidR="00EC5A03" w:rsidRPr="00EC5A03">
        <w:rPr>
          <w:rFonts w:ascii="Verdana" w:hAnsi="Verdana"/>
          <w:sz w:val="24"/>
          <w:szCs w:val="24"/>
        </w:rPr>
        <w:t>a obrigação de reparar o dano ou de ressarcir o dano, quando injustamente causado a</w:t>
      </w:r>
      <w:r w:rsidR="00EC5A03">
        <w:rPr>
          <w:rFonts w:ascii="Verdana" w:hAnsi="Verdana"/>
          <w:sz w:val="24"/>
          <w:szCs w:val="24"/>
        </w:rPr>
        <w:t xml:space="preserve"> </w:t>
      </w:r>
      <w:r w:rsidR="00EC5A03" w:rsidRPr="00EC5A03">
        <w:rPr>
          <w:rFonts w:ascii="Verdana" w:hAnsi="Verdana"/>
          <w:sz w:val="24"/>
          <w:szCs w:val="24"/>
        </w:rPr>
        <w:t>outrem.</w:t>
      </w:r>
      <w:r w:rsidR="00EC5A03">
        <w:rPr>
          <w:rFonts w:ascii="Verdana" w:hAnsi="Verdana"/>
          <w:sz w:val="24"/>
          <w:szCs w:val="24"/>
        </w:rPr>
        <w:t xml:space="preserve"> </w:t>
      </w:r>
      <w:r w:rsidR="00254282">
        <w:rPr>
          <w:rFonts w:ascii="Verdana" w:hAnsi="Verdana"/>
          <w:sz w:val="24"/>
          <w:szCs w:val="24"/>
        </w:rPr>
        <w:t xml:space="preserve">Já a </w:t>
      </w:r>
      <w:r w:rsidR="004E2266">
        <w:rPr>
          <w:rFonts w:ascii="Verdana" w:hAnsi="Verdana"/>
          <w:sz w:val="24"/>
          <w:szCs w:val="24"/>
        </w:rPr>
        <w:t xml:space="preserve">Responsabilidade </w:t>
      </w:r>
      <w:r w:rsidR="00254282">
        <w:rPr>
          <w:rFonts w:ascii="Verdana" w:hAnsi="Verdana"/>
          <w:sz w:val="24"/>
          <w:szCs w:val="24"/>
        </w:rPr>
        <w:t>C</w:t>
      </w:r>
      <w:r w:rsidR="004E2266">
        <w:rPr>
          <w:rFonts w:ascii="Verdana" w:hAnsi="Verdana"/>
          <w:sz w:val="24"/>
          <w:szCs w:val="24"/>
        </w:rPr>
        <w:t xml:space="preserve">riminal seria a </w:t>
      </w:r>
      <w:r w:rsidR="004E2266" w:rsidRPr="004E2266">
        <w:rPr>
          <w:rFonts w:ascii="Verdana" w:hAnsi="Verdana"/>
          <w:sz w:val="24"/>
          <w:szCs w:val="24"/>
        </w:rPr>
        <w:t>obrigação de sofrer o castigo</w:t>
      </w:r>
      <w:r w:rsidR="004E2266">
        <w:rPr>
          <w:rFonts w:ascii="Verdana" w:hAnsi="Verdana"/>
          <w:sz w:val="24"/>
          <w:szCs w:val="24"/>
        </w:rPr>
        <w:t xml:space="preserve"> </w:t>
      </w:r>
      <w:r w:rsidR="004E2266" w:rsidRPr="004E2266">
        <w:rPr>
          <w:rFonts w:ascii="Verdana" w:hAnsi="Verdana"/>
          <w:sz w:val="24"/>
          <w:szCs w:val="24"/>
        </w:rPr>
        <w:t>ou incorrer</w:t>
      </w:r>
      <w:r w:rsidR="004E2266">
        <w:rPr>
          <w:rFonts w:ascii="Verdana" w:hAnsi="Verdana"/>
          <w:sz w:val="24"/>
          <w:szCs w:val="24"/>
        </w:rPr>
        <w:t xml:space="preserve"> </w:t>
      </w:r>
      <w:r w:rsidR="004E2266" w:rsidRPr="004E2266">
        <w:rPr>
          <w:rFonts w:ascii="Verdana" w:hAnsi="Verdana"/>
          <w:sz w:val="24"/>
          <w:szCs w:val="24"/>
        </w:rPr>
        <w:t>nas sanções penais impostas ao agente do fato ou omissão criminosa.</w:t>
      </w:r>
    </w:p>
    <w:p w14:paraId="208AD031" w14:textId="7E0D27F8" w:rsidR="006C0EF4" w:rsidRDefault="00381FB4" w:rsidP="00577470">
      <w:pPr>
        <w:spacing w:line="360" w:lineRule="auto"/>
        <w:ind w:right="-285" w:firstLine="708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</w:t>
      </w:r>
      <w:r w:rsidR="00254282" w:rsidRPr="00545072">
        <w:rPr>
          <w:rFonts w:ascii="Verdana" w:hAnsi="Verdana"/>
          <w:sz w:val="24"/>
          <w:szCs w:val="24"/>
        </w:rPr>
        <w:t xml:space="preserve"> </w:t>
      </w:r>
      <w:r w:rsidR="00545072" w:rsidRPr="00545072">
        <w:rPr>
          <w:rFonts w:ascii="Verdana" w:hAnsi="Verdana"/>
          <w:sz w:val="24"/>
          <w:szCs w:val="24"/>
        </w:rPr>
        <w:t>Título II da Consolidação das Leis do Trabalho</w:t>
      </w:r>
      <w:r w:rsidR="008B7C6B" w:rsidRPr="00545072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(Das Normas Gerais da Tutela do Traba</w:t>
      </w:r>
      <w:r w:rsidR="00D51576">
        <w:rPr>
          <w:rFonts w:ascii="Verdana" w:hAnsi="Verdana"/>
          <w:sz w:val="24"/>
          <w:szCs w:val="24"/>
        </w:rPr>
        <w:t>lho), possui 5 ca</w:t>
      </w:r>
      <w:r w:rsidR="005939CE">
        <w:rPr>
          <w:rFonts w:ascii="Verdana" w:hAnsi="Verdana"/>
          <w:sz w:val="24"/>
          <w:szCs w:val="24"/>
        </w:rPr>
        <w:t>pítulos:</w:t>
      </w:r>
    </w:p>
    <w:p w14:paraId="59C35D03" w14:textId="3FA0FE1B" w:rsidR="005939CE" w:rsidRDefault="005939CE" w:rsidP="005939CE">
      <w:pPr>
        <w:pStyle w:val="PargrafodaLista"/>
        <w:numPr>
          <w:ilvl w:val="0"/>
          <w:numId w:val="2"/>
        </w:numPr>
        <w:spacing w:line="360" w:lineRule="auto"/>
        <w:ind w:right="-285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Da Identificação Profissional;</w:t>
      </w:r>
    </w:p>
    <w:p w14:paraId="6F90110B" w14:textId="58D3BADB" w:rsidR="005939CE" w:rsidRDefault="005939CE" w:rsidP="005939CE">
      <w:pPr>
        <w:pStyle w:val="PargrafodaLista"/>
        <w:numPr>
          <w:ilvl w:val="0"/>
          <w:numId w:val="2"/>
        </w:numPr>
        <w:spacing w:line="360" w:lineRule="auto"/>
        <w:ind w:right="-285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Da Duração do Trabalho;</w:t>
      </w:r>
    </w:p>
    <w:p w14:paraId="0E31571F" w14:textId="0C0B8830" w:rsidR="005939CE" w:rsidRDefault="005939CE" w:rsidP="005939CE">
      <w:pPr>
        <w:pStyle w:val="PargrafodaLista"/>
        <w:numPr>
          <w:ilvl w:val="0"/>
          <w:numId w:val="2"/>
        </w:numPr>
        <w:spacing w:line="360" w:lineRule="auto"/>
        <w:ind w:right="-285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Do Salário Mínimo;</w:t>
      </w:r>
    </w:p>
    <w:p w14:paraId="66AE53DC" w14:textId="25DE5712" w:rsidR="005939CE" w:rsidRDefault="003247D2" w:rsidP="005939CE">
      <w:pPr>
        <w:pStyle w:val="PargrafodaLista"/>
        <w:numPr>
          <w:ilvl w:val="0"/>
          <w:numId w:val="2"/>
        </w:numPr>
        <w:spacing w:line="360" w:lineRule="auto"/>
        <w:ind w:right="-285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Das Férias Anuais;</w:t>
      </w:r>
    </w:p>
    <w:p w14:paraId="5DBF1638" w14:textId="505EA05D" w:rsidR="003247D2" w:rsidRDefault="003247D2" w:rsidP="005939CE">
      <w:pPr>
        <w:pStyle w:val="PargrafodaLista"/>
        <w:numPr>
          <w:ilvl w:val="0"/>
          <w:numId w:val="2"/>
        </w:numPr>
        <w:spacing w:line="360" w:lineRule="auto"/>
        <w:ind w:right="-285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Da Segurança e da Medicina do Trabalho</w:t>
      </w:r>
    </w:p>
    <w:p w14:paraId="593AF71C" w14:textId="439C70C3" w:rsidR="003247D2" w:rsidRDefault="00CB77EA" w:rsidP="009D5326">
      <w:pPr>
        <w:spacing w:line="360" w:lineRule="auto"/>
        <w:ind w:left="708" w:right="-285" w:firstLine="708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</w:t>
      </w:r>
      <w:r w:rsidR="0029392C">
        <w:rPr>
          <w:rFonts w:ascii="Verdana" w:hAnsi="Verdana"/>
          <w:sz w:val="24"/>
          <w:szCs w:val="24"/>
        </w:rPr>
        <w:t xml:space="preserve"> Capítulo V do Título II da CLT</w:t>
      </w:r>
      <w:r w:rsidR="00963C78">
        <w:rPr>
          <w:rFonts w:ascii="Verdana" w:hAnsi="Verdana"/>
          <w:sz w:val="24"/>
          <w:szCs w:val="24"/>
        </w:rPr>
        <w:t xml:space="preserve"> que</w:t>
      </w:r>
      <w:r w:rsidR="0029392C">
        <w:rPr>
          <w:rFonts w:ascii="Verdana" w:hAnsi="Verdana"/>
          <w:sz w:val="24"/>
          <w:szCs w:val="24"/>
        </w:rPr>
        <w:t xml:space="preserve"> fornece </w:t>
      </w:r>
      <w:r w:rsidR="00963C78">
        <w:rPr>
          <w:rFonts w:ascii="Verdana" w:hAnsi="Verdana"/>
          <w:sz w:val="24"/>
          <w:szCs w:val="24"/>
        </w:rPr>
        <w:t xml:space="preserve">as </w:t>
      </w:r>
      <w:r w:rsidR="0029392C">
        <w:rPr>
          <w:rFonts w:ascii="Verdana" w:hAnsi="Verdana"/>
          <w:sz w:val="24"/>
          <w:szCs w:val="24"/>
        </w:rPr>
        <w:t xml:space="preserve">diretrizes legais </w:t>
      </w:r>
      <w:r w:rsidR="00963C78">
        <w:rPr>
          <w:rFonts w:ascii="Verdana" w:hAnsi="Verdana"/>
          <w:sz w:val="24"/>
          <w:szCs w:val="24"/>
        </w:rPr>
        <w:t xml:space="preserve">objetivas </w:t>
      </w:r>
      <w:r w:rsidR="0029392C">
        <w:rPr>
          <w:rFonts w:ascii="Verdana" w:hAnsi="Verdana"/>
          <w:sz w:val="24"/>
          <w:szCs w:val="24"/>
        </w:rPr>
        <w:t>quanto às obrigações</w:t>
      </w:r>
      <w:r w:rsidR="009D5326">
        <w:rPr>
          <w:rFonts w:ascii="Verdana" w:hAnsi="Verdana"/>
          <w:sz w:val="24"/>
          <w:szCs w:val="24"/>
        </w:rPr>
        <w:t xml:space="preserve"> </w:t>
      </w:r>
      <w:r w:rsidR="0029392C">
        <w:rPr>
          <w:rFonts w:ascii="Verdana" w:hAnsi="Verdana"/>
          <w:sz w:val="24"/>
          <w:szCs w:val="24"/>
        </w:rPr>
        <w:t>dos empregadores</w:t>
      </w:r>
      <w:r>
        <w:rPr>
          <w:rFonts w:ascii="Verdana" w:hAnsi="Verdana"/>
          <w:sz w:val="24"/>
          <w:szCs w:val="24"/>
        </w:rPr>
        <w:t xml:space="preserve"> </w:t>
      </w:r>
      <w:r w:rsidR="009D5326">
        <w:rPr>
          <w:rFonts w:ascii="Verdana" w:hAnsi="Verdana"/>
          <w:sz w:val="24"/>
          <w:szCs w:val="24"/>
        </w:rPr>
        <w:t>em</w:t>
      </w:r>
      <w:r w:rsidR="00963C78">
        <w:rPr>
          <w:rFonts w:ascii="Verdana" w:hAnsi="Verdana"/>
          <w:sz w:val="24"/>
          <w:szCs w:val="24"/>
        </w:rPr>
        <w:t xml:space="preserve"> relação à promoção de</w:t>
      </w:r>
      <w:r w:rsidR="009D5326">
        <w:rPr>
          <w:rFonts w:ascii="Verdana" w:hAnsi="Verdana"/>
          <w:sz w:val="24"/>
          <w:szCs w:val="24"/>
        </w:rPr>
        <w:t xml:space="preserve"> condições de trabalho que </w:t>
      </w:r>
      <w:r w:rsidR="00963C78">
        <w:rPr>
          <w:rFonts w:ascii="Verdana" w:hAnsi="Verdana"/>
          <w:sz w:val="24"/>
          <w:szCs w:val="24"/>
        </w:rPr>
        <w:t>não sejam deletérias para os trabalhadores</w:t>
      </w:r>
      <w:r w:rsidR="00167FA0">
        <w:rPr>
          <w:rFonts w:ascii="Verdana" w:hAnsi="Verdana"/>
          <w:sz w:val="24"/>
          <w:szCs w:val="24"/>
        </w:rPr>
        <w:t>. Alguns dos Artigos deste capítulo</w:t>
      </w:r>
      <w:r>
        <w:rPr>
          <w:rFonts w:ascii="Verdana" w:hAnsi="Verdana"/>
          <w:sz w:val="24"/>
          <w:szCs w:val="24"/>
        </w:rPr>
        <w:t xml:space="preserve"> </w:t>
      </w:r>
      <w:r w:rsidR="00BA1903">
        <w:rPr>
          <w:rFonts w:ascii="Verdana" w:hAnsi="Verdana"/>
          <w:sz w:val="24"/>
          <w:szCs w:val="24"/>
        </w:rPr>
        <w:t>estabelecem</w:t>
      </w:r>
      <w:r>
        <w:rPr>
          <w:rFonts w:ascii="Verdana" w:hAnsi="Verdana"/>
          <w:sz w:val="24"/>
          <w:szCs w:val="24"/>
        </w:rPr>
        <w:t xml:space="preserve"> a </w:t>
      </w:r>
      <w:r w:rsidR="00BA1903">
        <w:rPr>
          <w:rFonts w:ascii="Verdana" w:hAnsi="Verdana"/>
          <w:sz w:val="24"/>
          <w:szCs w:val="24"/>
        </w:rPr>
        <w:t xml:space="preserve">existência de </w:t>
      </w:r>
      <w:r>
        <w:rPr>
          <w:rFonts w:ascii="Verdana" w:hAnsi="Verdana"/>
          <w:sz w:val="24"/>
          <w:szCs w:val="24"/>
        </w:rPr>
        <w:t>uma regulamentação infralegal p</w:t>
      </w:r>
      <w:r w:rsidR="00BA1903">
        <w:rPr>
          <w:rFonts w:ascii="Verdana" w:hAnsi="Verdana"/>
          <w:sz w:val="24"/>
          <w:szCs w:val="24"/>
        </w:rPr>
        <w:t>elo poder executivo, como por exemplo, o extinto Ministério do Trabalho</w:t>
      </w:r>
      <w:r w:rsidR="000A0E98">
        <w:rPr>
          <w:rFonts w:ascii="Verdana" w:hAnsi="Verdana"/>
          <w:sz w:val="24"/>
          <w:szCs w:val="24"/>
        </w:rPr>
        <w:t xml:space="preserve"> (que foi dividido em Secretarias Especiais do Ministério da Economia).</w:t>
      </w:r>
    </w:p>
    <w:p w14:paraId="4A35E2AC" w14:textId="35902F81" w:rsidR="00807604" w:rsidRPr="00807604" w:rsidRDefault="003811A9" w:rsidP="00807604">
      <w:pPr>
        <w:spacing w:line="360" w:lineRule="auto"/>
        <w:ind w:left="708" w:right="-285" w:firstLine="708"/>
        <w:jc w:val="both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sz w:val="24"/>
          <w:szCs w:val="24"/>
        </w:rPr>
        <w:t>Existem Normas Regulamentadoras sobre Saúde e Segurança do Tra</w:t>
      </w:r>
      <w:r w:rsidR="00F605B4">
        <w:rPr>
          <w:rFonts w:ascii="Verdana" w:hAnsi="Verdana"/>
          <w:sz w:val="24"/>
          <w:szCs w:val="24"/>
        </w:rPr>
        <w:t xml:space="preserve">balho, que </w:t>
      </w:r>
      <w:r w:rsidR="00F34F34">
        <w:rPr>
          <w:rFonts w:ascii="Verdana" w:hAnsi="Verdana"/>
          <w:sz w:val="24"/>
          <w:szCs w:val="24"/>
        </w:rPr>
        <w:t xml:space="preserve">estão sendo atualmente revisadas e devem passar por modificações, </w:t>
      </w:r>
      <w:r w:rsidR="00F605B4">
        <w:rPr>
          <w:rFonts w:ascii="Verdana" w:hAnsi="Verdana"/>
          <w:sz w:val="24"/>
          <w:szCs w:val="24"/>
        </w:rPr>
        <w:t xml:space="preserve">representam a regulamentação normativa </w:t>
      </w:r>
      <w:r w:rsidR="00F605B4">
        <w:rPr>
          <w:rFonts w:ascii="Verdana" w:hAnsi="Verdana"/>
          <w:sz w:val="24"/>
          <w:szCs w:val="24"/>
        </w:rPr>
        <w:lastRenderedPageBreak/>
        <w:t xml:space="preserve">existentes quanto às obrigações </w:t>
      </w:r>
      <w:r w:rsidR="006C6CFD">
        <w:rPr>
          <w:rFonts w:ascii="Verdana" w:hAnsi="Verdana"/>
          <w:sz w:val="24"/>
          <w:szCs w:val="24"/>
        </w:rPr>
        <w:t xml:space="preserve">de empregadores e de trabalhadores em relação </w:t>
      </w:r>
      <w:r w:rsidR="003F4FB6">
        <w:rPr>
          <w:rFonts w:ascii="Verdana" w:hAnsi="Verdana"/>
          <w:sz w:val="24"/>
          <w:szCs w:val="24"/>
        </w:rPr>
        <w:t>aos temas de</w:t>
      </w:r>
      <w:r w:rsidR="006C6CFD">
        <w:rPr>
          <w:rFonts w:ascii="Verdana" w:hAnsi="Verdana"/>
          <w:sz w:val="24"/>
          <w:szCs w:val="24"/>
        </w:rPr>
        <w:t xml:space="preserve"> Saúde e Segurança do Trabalho</w:t>
      </w:r>
      <w:r w:rsidR="003F4FB6">
        <w:rPr>
          <w:rFonts w:ascii="Verdana" w:hAnsi="Verdana"/>
          <w:sz w:val="24"/>
          <w:szCs w:val="24"/>
        </w:rPr>
        <w:t xml:space="preserve">. Estas Normas </w:t>
      </w:r>
      <w:r w:rsidR="003F4FB6" w:rsidRPr="00A079E2">
        <w:rPr>
          <w:rFonts w:ascii="Verdana" w:hAnsi="Verdana"/>
          <w:sz w:val="24"/>
          <w:szCs w:val="24"/>
        </w:rPr>
        <w:t xml:space="preserve">Regulamentadoras </w:t>
      </w:r>
      <w:r w:rsidR="00A079E2" w:rsidRPr="00A079E2">
        <w:rPr>
          <w:rFonts w:ascii="Verdana" w:hAnsi="Verdana"/>
          <w:color w:val="000000"/>
          <w:sz w:val="24"/>
          <w:szCs w:val="24"/>
        </w:rPr>
        <w:t xml:space="preserve">são de observância obrigatória pelas empresas privadas e públicas e pelos órgãos públicos da administração direta e indireta, bem como pelos órgãos dos Poderes Legislativo e Judiciário, que possuam empregados regidos pela Consolidação das Leis do Trabalho </w:t>
      </w:r>
      <w:r w:rsidR="00A079E2">
        <w:rPr>
          <w:rFonts w:ascii="Verdana" w:hAnsi="Verdana"/>
          <w:color w:val="000000"/>
          <w:sz w:val="24"/>
          <w:szCs w:val="24"/>
        </w:rPr>
        <w:t>–</w:t>
      </w:r>
      <w:r w:rsidR="00A079E2" w:rsidRPr="00A079E2">
        <w:rPr>
          <w:rFonts w:ascii="Verdana" w:hAnsi="Verdana"/>
          <w:color w:val="000000"/>
          <w:sz w:val="24"/>
          <w:szCs w:val="24"/>
        </w:rPr>
        <w:t xml:space="preserve"> CLT</w:t>
      </w:r>
      <w:r w:rsidR="00A079E2">
        <w:rPr>
          <w:rFonts w:ascii="Verdana" w:hAnsi="Verdana"/>
          <w:color w:val="000000"/>
          <w:sz w:val="24"/>
          <w:szCs w:val="24"/>
        </w:rPr>
        <w:t>.</w:t>
      </w:r>
      <w:r w:rsidR="00C221F6">
        <w:rPr>
          <w:rFonts w:ascii="Verdana" w:hAnsi="Verdana"/>
          <w:color w:val="000000"/>
          <w:sz w:val="24"/>
          <w:szCs w:val="24"/>
        </w:rPr>
        <w:t xml:space="preserve"> Atualmente são </w:t>
      </w:r>
      <w:r w:rsidR="00450D20">
        <w:rPr>
          <w:rFonts w:ascii="Verdana" w:hAnsi="Verdana"/>
          <w:color w:val="000000"/>
          <w:sz w:val="24"/>
          <w:szCs w:val="24"/>
        </w:rPr>
        <w:t>as seguintes</w:t>
      </w:r>
      <w:r w:rsidR="00C221F6">
        <w:rPr>
          <w:rFonts w:ascii="Verdana" w:hAnsi="Verdana"/>
          <w:color w:val="000000"/>
          <w:sz w:val="24"/>
          <w:szCs w:val="24"/>
        </w:rPr>
        <w:t>:</w:t>
      </w:r>
    </w:p>
    <w:p w14:paraId="1045AB57" w14:textId="77777777" w:rsidR="00807604" w:rsidRPr="00807604" w:rsidRDefault="00807604" w:rsidP="00807604">
      <w:pPr>
        <w:spacing w:line="360" w:lineRule="auto"/>
        <w:ind w:left="708" w:right="-285" w:firstLine="708"/>
        <w:jc w:val="both"/>
        <w:rPr>
          <w:rFonts w:ascii="Verdana" w:hAnsi="Verdana"/>
          <w:color w:val="000000"/>
          <w:sz w:val="24"/>
          <w:szCs w:val="24"/>
        </w:rPr>
      </w:pPr>
      <w:r w:rsidRPr="00807604">
        <w:rPr>
          <w:rFonts w:ascii="Verdana" w:hAnsi="Verdana"/>
          <w:color w:val="000000"/>
          <w:sz w:val="24"/>
          <w:szCs w:val="24"/>
        </w:rPr>
        <w:t>NR 01 - Disposições Gerais</w:t>
      </w:r>
    </w:p>
    <w:p w14:paraId="130D64EA" w14:textId="77777777" w:rsidR="00807604" w:rsidRPr="00807604" w:rsidRDefault="00807604" w:rsidP="00807604">
      <w:pPr>
        <w:spacing w:line="360" w:lineRule="auto"/>
        <w:ind w:left="708" w:right="-285" w:firstLine="708"/>
        <w:jc w:val="both"/>
        <w:rPr>
          <w:rFonts w:ascii="Verdana" w:hAnsi="Verdana"/>
          <w:color w:val="000000"/>
          <w:sz w:val="24"/>
          <w:szCs w:val="24"/>
        </w:rPr>
      </w:pPr>
      <w:r w:rsidRPr="00807604">
        <w:rPr>
          <w:rFonts w:ascii="Verdana" w:hAnsi="Verdana"/>
          <w:color w:val="000000"/>
          <w:sz w:val="24"/>
          <w:szCs w:val="24"/>
        </w:rPr>
        <w:t>NR 02 - Inspeção Prévia</w:t>
      </w:r>
    </w:p>
    <w:p w14:paraId="05708FAA" w14:textId="77777777" w:rsidR="00807604" w:rsidRPr="00807604" w:rsidRDefault="00807604" w:rsidP="00807604">
      <w:pPr>
        <w:spacing w:line="360" w:lineRule="auto"/>
        <w:ind w:left="708" w:right="-285" w:firstLine="708"/>
        <w:jc w:val="both"/>
        <w:rPr>
          <w:rFonts w:ascii="Verdana" w:hAnsi="Verdana"/>
          <w:color w:val="000000"/>
          <w:sz w:val="24"/>
          <w:szCs w:val="24"/>
        </w:rPr>
      </w:pPr>
      <w:r w:rsidRPr="00807604">
        <w:rPr>
          <w:rFonts w:ascii="Verdana" w:hAnsi="Verdana"/>
          <w:color w:val="000000"/>
          <w:sz w:val="24"/>
          <w:szCs w:val="24"/>
        </w:rPr>
        <w:t>NR 03 - Embargo ou Interdição</w:t>
      </w:r>
    </w:p>
    <w:p w14:paraId="32EE8B76" w14:textId="77777777" w:rsidR="00807604" w:rsidRPr="00807604" w:rsidRDefault="00807604" w:rsidP="00807604">
      <w:pPr>
        <w:spacing w:line="360" w:lineRule="auto"/>
        <w:ind w:left="708" w:right="-285" w:firstLine="708"/>
        <w:jc w:val="both"/>
        <w:rPr>
          <w:rFonts w:ascii="Verdana" w:hAnsi="Verdana"/>
          <w:color w:val="000000"/>
          <w:sz w:val="24"/>
          <w:szCs w:val="24"/>
        </w:rPr>
      </w:pPr>
      <w:r w:rsidRPr="00807604">
        <w:rPr>
          <w:rFonts w:ascii="Verdana" w:hAnsi="Verdana"/>
          <w:color w:val="000000"/>
          <w:sz w:val="24"/>
          <w:szCs w:val="24"/>
        </w:rPr>
        <w:t>NR 04 - Serviços Especializados em Eng. de Segurança e em Medicina do Trabalho</w:t>
      </w:r>
    </w:p>
    <w:p w14:paraId="4A62730F" w14:textId="77777777" w:rsidR="00807604" w:rsidRPr="00807604" w:rsidRDefault="00807604" w:rsidP="00807604">
      <w:pPr>
        <w:spacing w:line="360" w:lineRule="auto"/>
        <w:ind w:left="708" w:right="-285" w:firstLine="708"/>
        <w:jc w:val="both"/>
        <w:rPr>
          <w:rFonts w:ascii="Verdana" w:hAnsi="Verdana"/>
          <w:color w:val="000000"/>
          <w:sz w:val="24"/>
          <w:szCs w:val="24"/>
        </w:rPr>
      </w:pPr>
      <w:r w:rsidRPr="00807604">
        <w:rPr>
          <w:rFonts w:ascii="Verdana" w:hAnsi="Verdana"/>
          <w:color w:val="000000"/>
          <w:sz w:val="24"/>
          <w:szCs w:val="24"/>
        </w:rPr>
        <w:t>NR 05 - Comissão Interna de Prevenção de Acidentes</w:t>
      </w:r>
    </w:p>
    <w:p w14:paraId="0F43F6A8" w14:textId="77777777" w:rsidR="00807604" w:rsidRPr="00807604" w:rsidRDefault="00807604" w:rsidP="00807604">
      <w:pPr>
        <w:spacing w:line="360" w:lineRule="auto"/>
        <w:ind w:left="708" w:right="-285" w:firstLine="708"/>
        <w:jc w:val="both"/>
        <w:rPr>
          <w:rFonts w:ascii="Verdana" w:hAnsi="Verdana"/>
          <w:color w:val="000000"/>
          <w:sz w:val="24"/>
          <w:szCs w:val="24"/>
        </w:rPr>
      </w:pPr>
      <w:r w:rsidRPr="00807604">
        <w:rPr>
          <w:rFonts w:ascii="Verdana" w:hAnsi="Verdana"/>
          <w:color w:val="000000"/>
          <w:sz w:val="24"/>
          <w:szCs w:val="24"/>
        </w:rPr>
        <w:t>NR 06 - Equipamentos de Proteção Individual - EPI</w:t>
      </w:r>
    </w:p>
    <w:p w14:paraId="485F46F2" w14:textId="77777777" w:rsidR="00807604" w:rsidRPr="00807604" w:rsidRDefault="00807604" w:rsidP="00807604">
      <w:pPr>
        <w:spacing w:line="360" w:lineRule="auto"/>
        <w:ind w:left="708" w:right="-285" w:firstLine="708"/>
        <w:jc w:val="both"/>
        <w:rPr>
          <w:rFonts w:ascii="Verdana" w:hAnsi="Verdana"/>
          <w:color w:val="000000"/>
          <w:sz w:val="24"/>
          <w:szCs w:val="24"/>
        </w:rPr>
      </w:pPr>
      <w:r w:rsidRPr="00807604">
        <w:rPr>
          <w:rFonts w:ascii="Verdana" w:hAnsi="Verdana"/>
          <w:color w:val="000000"/>
          <w:sz w:val="24"/>
          <w:szCs w:val="24"/>
        </w:rPr>
        <w:t>NR 07 - Programas de Controle Médico de Saúde Ocupacional</w:t>
      </w:r>
    </w:p>
    <w:p w14:paraId="27B774B6" w14:textId="77777777" w:rsidR="00807604" w:rsidRPr="00807604" w:rsidRDefault="00807604" w:rsidP="00807604">
      <w:pPr>
        <w:spacing w:line="360" w:lineRule="auto"/>
        <w:ind w:left="708" w:right="-285" w:firstLine="708"/>
        <w:jc w:val="both"/>
        <w:rPr>
          <w:rFonts w:ascii="Verdana" w:hAnsi="Verdana"/>
          <w:color w:val="000000"/>
          <w:sz w:val="24"/>
          <w:szCs w:val="24"/>
        </w:rPr>
      </w:pPr>
      <w:r w:rsidRPr="00807604">
        <w:rPr>
          <w:rFonts w:ascii="Verdana" w:hAnsi="Verdana"/>
          <w:color w:val="000000"/>
          <w:sz w:val="24"/>
          <w:szCs w:val="24"/>
        </w:rPr>
        <w:t>NR 08 - Edificações</w:t>
      </w:r>
    </w:p>
    <w:p w14:paraId="1840C8DC" w14:textId="77777777" w:rsidR="00807604" w:rsidRPr="00807604" w:rsidRDefault="00807604" w:rsidP="00807604">
      <w:pPr>
        <w:spacing w:line="360" w:lineRule="auto"/>
        <w:ind w:left="708" w:right="-285" w:firstLine="708"/>
        <w:jc w:val="both"/>
        <w:rPr>
          <w:rFonts w:ascii="Verdana" w:hAnsi="Verdana"/>
          <w:color w:val="000000"/>
          <w:sz w:val="24"/>
          <w:szCs w:val="24"/>
        </w:rPr>
      </w:pPr>
      <w:r w:rsidRPr="00807604">
        <w:rPr>
          <w:rFonts w:ascii="Verdana" w:hAnsi="Verdana"/>
          <w:color w:val="000000"/>
          <w:sz w:val="24"/>
          <w:szCs w:val="24"/>
        </w:rPr>
        <w:t>NR 09 - Programas de Prevenção de Riscos Ambientais</w:t>
      </w:r>
    </w:p>
    <w:p w14:paraId="5C23B8FD" w14:textId="77777777" w:rsidR="00807604" w:rsidRPr="00807604" w:rsidRDefault="00807604" w:rsidP="00807604">
      <w:pPr>
        <w:spacing w:line="360" w:lineRule="auto"/>
        <w:ind w:left="708" w:right="-285" w:firstLine="708"/>
        <w:jc w:val="both"/>
        <w:rPr>
          <w:rFonts w:ascii="Verdana" w:hAnsi="Verdana"/>
          <w:color w:val="000000"/>
          <w:sz w:val="24"/>
          <w:szCs w:val="24"/>
        </w:rPr>
      </w:pPr>
      <w:r w:rsidRPr="00807604">
        <w:rPr>
          <w:rFonts w:ascii="Verdana" w:hAnsi="Verdana"/>
          <w:color w:val="000000"/>
          <w:sz w:val="24"/>
          <w:szCs w:val="24"/>
        </w:rPr>
        <w:t>NR 10 - Segurança em Instalações e Serviços em Eletricidade</w:t>
      </w:r>
    </w:p>
    <w:p w14:paraId="054D3C78" w14:textId="77777777" w:rsidR="00807604" w:rsidRPr="00807604" w:rsidRDefault="00807604" w:rsidP="00807604">
      <w:pPr>
        <w:spacing w:line="360" w:lineRule="auto"/>
        <w:ind w:left="708" w:right="-285" w:firstLine="708"/>
        <w:jc w:val="both"/>
        <w:rPr>
          <w:rFonts w:ascii="Verdana" w:hAnsi="Verdana"/>
          <w:color w:val="000000"/>
          <w:sz w:val="24"/>
          <w:szCs w:val="24"/>
        </w:rPr>
      </w:pPr>
      <w:r w:rsidRPr="00807604">
        <w:rPr>
          <w:rFonts w:ascii="Verdana" w:hAnsi="Verdana"/>
          <w:color w:val="000000"/>
          <w:sz w:val="24"/>
          <w:szCs w:val="24"/>
        </w:rPr>
        <w:t>NR 11 - Transporte, Movimentação, Armazenagem e Manuseio de Materiais</w:t>
      </w:r>
    </w:p>
    <w:p w14:paraId="747E65F6" w14:textId="77777777" w:rsidR="00807604" w:rsidRPr="00807604" w:rsidRDefault="00807604" w:rsidP="00807604">
      <w:pPr>
        <w:spacing w:line="360" w:lineRule="auto"/>
        <w:ind w:left="708" w:right="-285" w:firstLine="708"/>
        <w:jc w:val="both"/>
        <w:rPr>
          <w:rFonts w:ascii="Verdana" w:hAnsi="Verdana"/>
          <w:color w:val="000000"/>
          <w:sz w:val="24"/>
          <w:szCs w:val="24"/>
        </w:rPr>
      </w:pPr>
      <w:r w:rsidRPr="00807604">
        <w:rPr>
          <w:rFonts w:ascii="Verdana" w:hAnsi="Verdana"/>
          <w:color w:val="000000"/>
          <w:sz w:val="24"/>
          <w:szCs w:val="24"/>
        </w:rPr>
        <w:t>NR 12 - Máquinas e Equipamentos</w:t>
      </w:r>
    </w:p>
    <w:p w14:paraId="035E2580" w14:textId="77777777" w:rsidR="00807604" w:rsidRPr="00807604" w:rsidRDefault="00807604" w:rsidP="00807604">
      <w:pPr>
        <w:spacing w:line="360" w:lineRule="auto"/>
        <w:ind w:left="708" w:right="-285" w:firstLine="708"/>
        <w:jc w:val="both"/>
        <w:rPr>
          <w:rFonts w:ascii="Verdana" w:hAnsi="Verdana"/>
          <w:color w:val="000000"/>
          <w:sz w:val="24"/>
          <w:szCs w:val="24"/>
        </w:rPr>
      </w:pPr>
      <w:r w:rsidRPr="00807604">
        <w:rPr>
          <w:rFonts w:ascii="Verdana" w:hAnsi="Verdana"/>
          <w:color w:val="000000"/>
          <w:sz w:val="24"/>
          <w:szCs w:val="24"/>
        </w:rPr>
        <w:t>NR 13 - Caldeiras e Vasos de Pressão</w:t>
      </w:r>
    </w:p>
    <w:p w14:paraId="7282F153" w14:textId="77777777" w:rsidR="00807604" w:rsidRPr="00807604" w:rsidRDefault="00807604" w:rsidP="00807604">
      <w:pPr>
        <w:spacing w:line="360" w:lineRule="auto"/>
        <w:ind w:left="708" w:right="-285" w:firstLine="708"/>
        <w:jc w:val="both"/>
        <w:rPr>
          <w:rFonts w:ascii="Verdana" w:hAnsi="Verdana"/>
          <w:color w:val="000000"/>
          <w:sz w:val="24"/>
          <w:szCs w:val="24"/>
        </w:rPr>
      </w:pPr>
      <w:r w:rsidRPr="00807604">
        <w:rPr>
          <w:rFonts w:ascii="Verdana" w:hAnsi="Verdana"/>
          <w:color w:val="000000"/>
          <w:sz w:val="24"/>
          <w:szCs w:val="24"/>
        </w:rPr>
        <w:t>NR 14 - Fornos</w:t>
      </w:r>
    </w:p>
    <w:p w14:paraId="1DD3FC76" w14:textId="77777777" w:rsidR="00807604" w:rsidRPr="00807604" w:rsidRDefault="00807604" w:rsidP="00807604">
      <w:pPr>
        <w:spacing w:line="360" w:lineRule="auto"/>
        <w:ind w:left="708" w:right="-285" w:firstLine="708"/>
        <w:jc w:val="both"/>
        <w:rPr>
          <w:rFonts w:ascii="Verdana" w:hAnsi="Verdana"/>
          <w:color w:val="000000"/>
          <w:sz w:val="24"/>
          <w:szCs w:val="24"/>
        </w:rPr>
      </w:pPr>
      <w:r w:rsidRPr="00807604">
        <w:rPr>
          <w:rFonts w:ascii="Verdana" w:hAnsi="Verdana"/>
          <w:color w:val="000000"/>
          <w:sz w:val="24"/>
          <w:szCs w:val="24"/>
        </w:rPr>
        <w:t>NR 15 - Atividades e Operações Insalubres</w:t>
      </w:r>
    </w:p>
    <w:p w14:paraId="69268C63" w14:textId="77777777" w:rsidR="00807604" w:rsidRPr="00807604" w:rsidRDefault="00807604" w:rsidP="00807604">
      <w:pPr>
        <w:spacing w:line="360" w:lineRule="auto"/>
        <w:ind w:left="708" w:right="-285" w:firstLine="708"/>
        <w:jc w:val="both"/>
        <w:rPr>
          <w:rFonts w:ascii="Verdana" w:hAnsi="Verdana"/>
          <w:color w:val="000000"/>
          <w:sz w:val="24"/>
          <w:szCs w:val="24"/>
        </w:rPr>
      </w:pPr>
      <w:r w:rsidRPr="00807604">
        <w:rPr>
          <w:rFonts w:ascii="Verdana" w:hAnsi="Verdana"/>
          <w:color w:val="000000"/>
          <w:sz w:val="24"/>
          <w:szCs w:val="24"/>
        </w:rPr>
        <w:t>NR 16 - Atividades e Operações Perigosas</w:t>
      </w:r>
    </w:p>
    <w:p w14:paraId="0C85E4F7" w14:textId="77777777" w:rsidR="00807604" w:rsidRPr="00807604" w:rsidRDefault="00807604" w:rsidP="00807604">
      <w:pPr>
        <w:spacing w:line="360" w:lineRule="auto"/>
        <w:ind w:left="708" w:right="-285" w:firstLine="708"/>
        <w:jc w:val="both"/>
        <w:rPr>
          <w:rFonts w:ascii="Verdana" w:hAnsi="Verdana"/>
          <w:color w:val="000000"/>
          <w:sz w:val="24"/>
          <w:szCs w:val="24"/>
        </w:rPr>
      </w:pPr>
      <w:r w:rsidRPr="00807604">
        <w:rPr>
          <w:rFonts w:ascii="Verdana" w:hAnsi="Verdana"/>
          <w:color w:val="000000"/>
          <w:sz w:val="24"/>
          <w:szCs w:val="24"/>
        </w:rPr>
        <w:lastRenderedPageBreak/>
        <w:t>NR 17 - Ergonomia</w:t>
      </w:r>
    </w:p>
    <w:p w14:paraId="25B9F956" w14:textId="77777777" w:rsidR="00807604" w:rsidRPr="00807604" w:rsidRDefault="00807604" w:rsidP="00807604">
      <w:pPr>
        <w:spacing w:line="360" w:lineRule="auto"/>
        <w:ind w:left="708" w:right="-285" w:firstLine="708"/>
        <w:jc w:val="both"/>
        <w:rPr>
          <w:rFonts w:ascii="Verdana" w:hAnsi="Verdana"/>
          <w:color w:val="000000"/>
          <w:sz w:val="24"/>
          <w:szCs w:val="24"/>
        </w:rPr>
      </w:pPr>
      <w:r w:rsidRPr="00807604">
        <w:rPr>
          <w:rFonts w:ascii="Verdana" w:hAnsi="Verdana"/>
          <w:color w:val="000000"/>
          <w:sz w:val="24"/>
          <w:szCs w:val="24"/>
        </w:rPr>
        <w:t>NR 18 - Condições e Meio Ambiente de Trabalho na Indústria da Construção</w:t>
      </w:r>
    </w:p>
    <w:p w14:paraId="750CA6EF" w14:textId="77777777" w:rsidR="00807604" w:rsidRPr="00807604" w:rsidRDefault="00807604" w:rsidP="00807604">
      <w:pPr>
        <w:spacing w:line="360" w:lineRule="auto"/>
        <w:ind w:left="708" w:right="-285" w:firstLine="708"/>
        <w:jc w:val="both"/>
        <w:rPr>
          <w:rFonts w:ascii="Verdana" w:hAnsi="Verdana"/>
          <w:color w:val="000000"/>
          <w:sz w:val="24"/>
          <w:szCs w:val="24"/>
        </w:rPr>
      </w:pPr>
      <w:r w:rsidRPr="00807604">
        <w:rPr>
          <w:rFonts w:ascii="Verdana" w:hAnsi="Verdana"/>
          <w:color w:val="000000"/>
          <w:sz w:val="24"/>
          <w:szCs w:val="24"/>
        </w:rPr>
        <w:t>NR 19 - Explosivos</w:t>
      </w:r>
    </w:p>
    <w:p w14:paraId="4DF97328" w14:textId="77777777" w:rsidR="00807604" w:rsidRPr="00807604" w:rsidRDefault="00807604" w:rsidP="00807604">
      <w:pPr>
        <w:spacing w:line="360" w:lineRule="auto"/>
        <w:ind w:left="708" w:right="-285" w:firstLine="708"/>
        <w:jc w:val="both"/>
        <w:rPr>
          <w:rFonts w:ascii="Verdana" w:hAnsi="Verdana"/>
          <w:color w:val="000000"/>
          <w:sz w:val="24"/>
          <w:szCs w:val="24"/>
        </w:rPr>
      </w:pPr>
      <w:r w:rsidRPr="00807604">
        <w:rPr>
          <w:rFonts w:ascii="Verdana" w:hAnsi="Verdana"/>
          <w:color w:val="000000"/>
          <w:sz w:val="24"/>
          <w:szCs w:val="24"/>
        </w:rPr>
        <w:t>NR 20 - Líquidos Combustíveis e Inflamáveis</w:t>
      </w:r>
    </w:p>
    <w:p w14:paraId="6B198FEA" w14:textId="77777777" w:rsidR="00807604" w:rsidRPr="00807604" w:rsidRDefault="00807604" w:rsidP="00807604">
      <w:pPr>
        <w:spacing w:line="360" w:lineRule="auto"/>
        <w:ind w:left="708" w:right="-285" w:firstLine="708"/>
        <w:jc w:val="both"/>
        <w:rPr>
          <w:rFonts w:ascii="Verdana" w:hAnsi="Verdana"/>
          <w:color w:val="000000"/>
          <w:sz w:val="24"/>
          <w:szCs w:val="24"/>
        </w:rPr>
      </w:pPr>
      <w:r w:rsidRPr="00807604">
        <w:rPr>
          <w:rFonts w:ascii="Verdana" w:hAnsi="Verdana"/>
          <w:color w:val="000000"/>
          <w:sz w:val="24"/>
          <w:szCs w:val="24"/>
        </w:rPr>
        <w:t>NR 21 - Trabalho a Céu Aberto</w:t>
      </w:r>
    </w:p>
    <w:p w14:paraId="437EEB55" w14:textId="77777777" w:rsidR="00807604" w:rsidRPr="00807604" w:rsidRDefault="00807604" w:rsidP="00807604">
      <w:pPr>
        <w:spacing w:line="360" w:lineRule="auto"/>
        <w:ind w:left="708" w:right="-285" w:firstLine="708"/>
        <w:jc w:val="both"/>
        <w:rPr>
          <w:rFonts w:ascii="Verdana" w:hAnsi="Verdana"/>
          <w:color w:val="000000"/>
          <w:sz w:val="24"/>
          <w:szCs w:val="24"/>
        </w:rPr>
      </w:pPr>
      <w:r w:rsidRPr="00807604">
        <w:rPr>
          <w:rFonts w:ascii="Verdana" w:hAnsi="Verdana"/>
          <w:color w:val="000000"/>
          <w:sz w:val="24"/>
          <w:szCs w:val="24"/>
        </w:rPr>
        <w:t>NR 22 - Segurança e Saúde Ocupacional na Mineração</w:t>
      </w:r>
    </w:p>
    <w:p w14:paraId="458D14A6" w14:textId="77777777" w:rsidR="00807604" w:rsidRPr="00807604" w:rsidRDefault="00807604" w:rsidP="00807604">
      <w:pPr>
        <w:spacing w:line="360" w:lineRule="auto"/>
        <w:ind w:left="708" w:right="-285" w:firstLine="708"/>
        <w:jc w:val="both"/>
        <w:rPr>
          <w:rFonts w:ascii="Verdana" w:hAnsi="Verdana"/>
          <w:color w:val="000000"/>
          <w:sz w:val="24"/>
          <w:szCs w:val="24"/>
        </w:rPr>
      </w:pPr>
      <w:r w:rsidRPr="00807604">
        <w:rPr>
          <w:rFonts w:ascii="Verdana" w:hAnsi="Verdana"/>
          <w:color w:val="000000"/>
          <w:sz w:val="24"/>
          <w:szCs w:val="24"/>
        </w:rPr>
        <w:t>NR 23 - Proteção Contra Incêndios</w:t>
      </w:r>
    </w:p>
    <w:p w14:paraId="50B3EDA2" w14:textId="0C4A35B3" w:rsidR="00807604" w:rsidRPr="00807604" w:rsidRDefault="00807604" w:rsidP="00807604">
      <w:pPr>
        <w:spacing w:line="360" w:lineRule="auto"/>
        <w:ind w:left="708" w:right="-285" w:firstLine="708"/>
        <w:jc w:val="both"/>
        <w:rPr>
          <w:rFonts w:ascii="Verdana" w:hAnsi="Verdana"/>
          <w:color w:val="000000"/>
          <w:sz w:val="24"/>
          <w:szCs w:val="24"/>
        </w:rPr>
      </w:pPr>
      <w:r w:rsidRPr="00807604">
        <w:rPr>
          <w:rFonts w:ascii="Verdana" w:hAnsi="Verdana"/>
          <w:color w:val="000000"/>
          <w:sz w:val="24"/>
          <w:szCs w:val="24"/>
        </w:rPr>
        <w:t>NR 24 - Condições Sanitárias e de Conforto nos Locais de Trabalho</w:t>
      </w:r>
    </w:p>
    <w:p w14:paraId="21B04C80" w14:textId="77777777" w:rsidR="00807604" w:rsidRPr="00807604" w:rsidRDefault="00807604" w:rsidP="00807604">
      <w:pPr>
        <w:spacing w:line="360" w:lineRule="auto"/>
        <w:ind w:left="708" w:right="-285" w:firstLine="708"/>
        <w:jc w:val="both"/>
        <w:rPr>
          <w:rFonts w:ascii="Verdana" w:hAnsi="Verdana"/>
          <w:color w:val="000000"/>
          <w:sz w:val="24"/>
          <w:szCs w:val="24"/>
        </w:rPr>
      </w:pPr>
      <w:r w:rsidRPr="00807604">
        <w:rPr>
          <w:rFonts w:ascii="Verdana" w:hAnsi="Verdana"/>
          <w:color w:val="000000"/>
          <w:sz w:val="24"/>
          <w:szCs w:val="24"/>
        </w:rPr>
        <w:t>NR 25 - Resíduos Industriais</w:t>
      </w:r>
    </w:p>
    <w:p w14:paraId="02E25868" w14:textId="77777777" w:rsidR="00807604" w:rsidRPr="00807604" w:rsidRDefault="00807604" w:rsidP="00807604">
      <w:pPr>
        <w:spacing w:line="360" w:lineRule="auto"/>
        <w:ind w:left="708" w:right="-285" w:firstLine="708"/>
        <w:jc w:val="both"/>
        <w:rPr>
          <w:rFonts w:ascii="Verdana" w:hAnsi="Verdana"/>
          <w:color w:val="000000"/>
          <w:sz w:val="24"/>
          <w:szCs w:val="24"/>
        </w:rPr>
      </w:pPr>
      <w:r w:rsidRPr="00807604">
        <w:rPr>
          <w:rFonts w:ascii="Verdana" w:hAnsi="Verdana"/>
          <w:color w:val="000000"/>
          <w:sz w:val="24"/>
          <w:szCs w:val="24"/>
        </w:rPr>
        <w:t>NR 26 - Sinalização de Segurança</w:t>
      </w:r>
    </w:p>
    <w:p w14:paraId="2EBCC8D3" w14:textId="77777777" w:rsidR="00807604" w:rsidRPr="00243B6D" w:rsidRDefault="00807604" w:rsidP="00807604">
      <w:pPr>
        <w:spacing w:line="360" w:lineRule="auto"/>
        <w:ind w:left="708" w:right="-285" w:firstLine="708"/>
        <w:jc w:val="both"/>
        <w:rPr>
          <w:rFonts w:ascii="Verdana" w:hAnsi="Verdana"/>
          <w:color w:val="FF0000"/>
          <w:sz w:val="24"/>
          <w:szCs w:val="24"/>
        </w:rPr>
      </w:pPr>
      <w:r w:rsidRPr="0094385E">
        <w:rPr>
          <w:rFonts w:ascii="Verdana" w:hAnsi="Verdana"/>
          <w:sz w:val="24"/>
          <w:szCs w:val="24"/>
        </w:rPr>
        <w:t xml:space="preserve">NR 27 - Registro Profissional do Técnico de Segurança do Trabalho no </w:t>
      </w:r>
      <w:proofErr w:type="spellStart"/>
      <w:r w:rsidRPr="0094385E">
        <w:rPr>
          <w:rFonts w:ascii="Verdana" w:hAnsi="Verdana"/>
          <w:sz w:val="24"/>
          <w:szCs w:val="24"/>
        </w:rPr>
        <w:t>MTB</w:t>
      </w:r>
      <w:proofErr w:type="spellEnd"/>
      <w:r w:rsidRPr="0094385E">
        <w:rPr>
          <w:rFonts w:ascii="Verdana" w:hAnsi="Verdana"/>
          <w:sz w:val="24"/>
          <w:szCs w:val="24"/>
        </w:rPr>
        <w:t xml:space="preserve"> </w:t>
      </w:r>
      <w:r w:rsidRPr="00243B6D">
        <w:rPr>
          <w:rFonts w:ascii="Verdana" w:hAnsi="Verdana"/>
          <w:color w:val="FF0000"/>
          <w:sz w:val="24"/>
          <w:szCs w:val="24"/>
        </w:rPr>
        <w:t>(Revogada pela Portaria GM n.º 262/2008)</w:t>
      </w:r>
    </w:p>
    <w:p w14:paraId="5AA85998" w14:textId="77777777" w:rsidR="00807604" w:rsidRPr="00807604" w:rsidRDefault="00807604" w:rsidP="00807604">
      <w:pPr>
        <w:spacing w:line="360" w:lineRule="auto"/>
        <w:ind w:left="708" w:right="-285" w:firstLine="708"/>
        <w:jc w:val="both"/>
        <w:rPr>
          <w:rFonts w:ascii="Verdana" w:hAnsi="Verdana"/>
          <w:color w:val="000000"/>
          <w:sz w:val="24"/>
          <w:szCs w:val="24"/>
        </w:rPr>
      </w:pPr>
      <w:r w:rsidRPr="00807604">
        <w:rPr>
          <w:rFonts w:ascii="Verdana" w:hAnsi="Verdana"/>
          <w:color w:val="000000"/>
          <w:sz w:val="24"/>
          <w:szCs w:val="24"/>
        </w:rPr>
        <w:t>NR 28 - Fiscalização e Penalidades</w:t>
      </w:r>
    </w:p>
    <w:p w14:paraId="23AEE23F" w14:textId="77777777" w:rsidR="00807604" w:rsidRPr="00807604" w:rsidRDefault="00807604" w:rsidP="00807604">
      <w:pPr>
        <w:spacing w:line="360" w:lineRule="auto"/>
        <w:ind w:left="708" w:right="-285" w:firstLine="708"/>
        <w:jc w:val="both"/>
        <w:rPr>
          <w:rFonts w:ascii="Verdana" w:hAnsi="Verdana"/>
          <w:color w:val="000000"/>
          <w:sz w:val="24"/>
          <w:szCs w:val="24"/>
        </w:rPr>
      </w:pPr>
      <w:r w:rsidRPr="00807604">
        <w:rPr>
          <w:rFonts w:ascii="Verdana" w:hAnsi="Verdana"/>
          <w:color w:val="000000"/>
          <w:sz w:val="24"/>
          <w:szCs w:val="24"/>
        </w:rPr>
        <w:t>NR 29 - Segurança e Saúde no Trabalho Portuário</w:t>
      </w:r>
    </w:p>
    <w:p w14:paraId="7EC07840" w14:textId="77777777" w:rsidR="00807604" w:rsidRPr="00807604" w:rsidRDefault="00807604" w:rsidP="00807604">
      <w:pPr>
        <w:spacing w:line="360" w:lineRule="auto"/>
        <w:ind w:left="708" w:right="-285" w:firstLine="708"/>
        <w:jc w:val="both"/>
        <w:rPr>
          <w:rFonts w:ascii="Verdana" w:hAnsi="Verdana"/>
          <w:color w:val="000000"/>
          <w:sz w:val="24"/>
          <w:szCs w:val="24"/>
        </w:rPr>
      </w:pPr>
      <w:r w:rsidRPr="00807604">
        <w:rPr>
          <w:rFonts w:ascii="Verdana" w:hAnsi="Verdana"/>
          <w:color w:val="000000"/>
          <w:sz w:val="24"/>
          <w:szCs w:val="24"/>
        </w:rPr>
        <w:t>NR 30 - Segurança e Saúde no Trabalho Aquaviário</w:t>
      </w:r>
    </w:p>
    <w:p w14:paraId="712E7593" w14:textId="77777777" w:rsidR="00807604" w:rsidRPr="00807604" w:rsidRDefault="00807604" w:rsidP="00807604">
      <w:pPr>
        <w:spacing w:line="360" w:lineRule="auto"/>
        <w:ind w:left="708" w:right="-285" w:firstLine="708"/>
        <w:jc w:val="both"/>
        <w:rPr>
          <w:rFonts w:ascii="Verdana" w:hAnsi="Verdana"/>
          <w:color w:val="000000"/>
          <w:sz w:val="24"/>
          <w:szCs w:val="24"/>
        </w:rPr>
      </w:pPr>
      <w:r w:rsidRPr="00807604">
        <w:rPr>
          <w:rFonts w:ascii="Verdana" w:hAnsi="Verdana"/>
          <w:color w:val="000000"/>
          <w:sz w:val="24"/>
          <w:szCs w:val="24"/>
        </w:rPr>
        <w:t>NR 31 - Segurança e Saúde no Trabalho na Agricultura, Pecuária Silvicultura, Exploração Florestal e Aquicultura</w:t>
      </w:r>
    </w:p>
    <w:p w14:paraId="1BD435E3" w14:textId="77777777" w:rsidR="00807604" w:rsidRPr="00807604" w:rsidRDefault="00807604" w:rsidP="00807604">
      <w:pPr>
        <w:spacing w:line="360" w:lineRule="auto"/>
        <w:ind w:left="708" w:right="-285" w:firstLine="708"/>
        <w:jc w:val="both"/>
        <w:rPr>
          <w:rFonts w:ascii="Verdana" w:hAnsi="Verdana"/>
          <w:color w:val="000000"/>
          <w:sz w:val="24"/>
          <w:szCs w:val="24"/>
        </w:rPr>
      </w:pPr>
      <w:r w:rsidRPr="00807604">
        <w:rPr>
          <w:rFonts w:ascii="Verdana" w:hAnsi="Verdana"/>
          <w:color w:val="000000"/>
          <w:sz w:val="24"/>
          <w:szCs w:val="24"/>
        </w:rPr>
        <w:t>NR 32 - Segurança e Saúde no Trabalho em Estabelecimentos de Saúde</w:t>
      </w:r>
    </w:p>
    <w:p w14:paraId="7C4E0D7C" w14:textId="77777777" w:rsidR="00807604" w:rsidRPr="00807604" w:rsidRDefault="00807604" w:rsidP="00807604">
      <w:pPr>
        <w:spacing w:line="360" w:lineRule="auto"/>
        <w:ind w:left="708" w:right="-285" w:firstLine="708"/>
        <w:jc w:val="both"/>
        <w:rPr>
          <w:rFonts w:ascii="Verdana" w:hAnsi="Verdana"/>
          <w:color w:val="000000"/>
          <w:sz w:val="24"/>
          <w:szCs w:val="24"/>
        </w:rPr>
      </w:pPr>
      <w:r w:rsidRPr="00807604">
        <w:rPr>
          <w:rFonts w:ascii="Verdana" w:hAnsi="Verdana"/>
          <w:color w:val="000000"/>
          <w:sz w:val="24"/>
          <w:szCs w:val="24"/>
        </w:rPr>
        <w:t>NR 33 - Segurança e Saúde no Trabalho em Espaços Confinados</w:t>
      </w:r>
    </w:p>
    <w:p w14:paraId="0F52B8A9" w14:textId="77777777" w:rsidR="00807604" w:rsidRPr="00807604" w:rsidRDefault="00807604" w:rsidP="00807604">
      <w:pPr>
        <w:spacing w:line="360" w:lineRule="auto"/>
        <w:ind w:left="708" w:right="-285" w:firstLine="708"/>
        <w:jc w:val="both"/>
        <w:rPr>
          <w:rFonts w:ascii="Verdana" w:hAnsi="Verdana"/>
          <w:color w:val="000000"/>
          <w:sz w:val="24"/>
          <w:szCs w:val="24"/>
        </w:rPr>
      </w:pPr>
      <w:r w:rsidRPr="00807604">
        <w:rPr>
          <w:rFonts w:ascii="Verdana" w:hAnsi="Verdana"/>
          <w:color w:val="000000"/>
          <w:sz w:val="24"/>
          <w:szCs w:val="24"/>
        </w:rPr>
        <w:t>NR 34 - Condições e Meio Ambiente de Trabalho na Indústria da Construção e Reparação Naval</w:t>
      </w:r>
    </w:p>
    <w:p w14:paraId="00C66A81" w14:textId="77777777" w:rsidR="00807604" w:rsidRPr="00807604" w:rsidRDefault="00807604" w:rsidP="00807604">
      <w:pPr>
        <w:spacing w:line="360" w:lineRule="auto"/>
        <w:ind w:left="708" w:right="-285" w:firstLine="708"/>
        <w:jc w:val="both"/>
        <w:rPr>
          <w:rFonts w:ascii="Verdana" w:hAnsi="Verdana"/>
          <w:color w:val="000000"/>
          <w:sz w:val="24"/>
          <w:szCs w:val="24"/>
        </w:rPr>
      </w:pPr>
      <w:r w:rsidRPr="00807604">
        <w:rPr>
          <w:rFonts w:ascii="Verdana" w:hAnsi="Verdana"/>
          <w:color w:val="000000"/>
          <w:sz w:val="24"/>
          <w:szCs w:val="24"/>
        </w:rPr>
        <w:lastRenderedPageBreak/>
        <w:t xml:space="preserve">NR 35 - Trabalho em Altura  </w:t>
      </w:r>
    </w:p>
    <w:p w14:paraId="646843BE" w14:textId="77777777" w:rsidR="00807604" w:rsidRPr="00807604" w:rsidRDefault="00807604" w:rsidP="00807604">
      <w:pPr>
        <w:spacing w:line="360" w:lineRule="auto"/>
        <w:ind w:left="708" w:right="-285" w:firstLine="708"/>
        <w:jc w:val="both"/>
        <w:rPr>
          <w:rFonts w:ascii="Verdana" w:hAnsi="Verdana"/>
          <w:color w:val="000000"/>
          <w:sz w:val="24"/>
          <w:szCs w:val="24"/>
        </w:rPr>
      </w:pPr>
      <w:r w:rsidRPr="00807604">
        <w:rPr>
          <w:rFonts w:ascii="Verdana" w:hAnsi="Verdana"/>
          <w:color w:val="000000"/>
          <w:sz w:val="24"/>
          <w:szCs w:val="24"/>
        </w:rPr>
        <w:t xml:space="preserve">NR 36 - Segurança e Saúde no Trabalho em Empresas de Abate e Processamento de Carnes e Derivados               </w:t>
      </w:r>
    </w:p>
    <w:p w14:paraId="6B79095F" w14:textId="77777777" w:rsidR="00807604" w:rsidRPr="00807604" w:rsidRDefault="00807604" w:rsidP="00807604">
      <w:pPr>
        <w:spacing w:line="360" w:lineRule="auto"/>
        <w:ind w:left="708" w:right="-285" w:firstLine="708"/>
        <w:jc w:val="both"/>
        <w:rPr>
          <w:rFonts w:ascii="Verdana" w:hAnsi="Verdana"/>
          <w:color w:val="000000"/>
          <w:sz w:val="24"/>
          <w:szCs w:val="24"/>
        </w:rPr>
      </w:pPr>
      <w:proofErr w:type="spellStart"/>
      <w:r w:rsidRPr="00807604">
        <w:rPr>
          <w:rFonts w:ascii="Verdana" w:hAnsi="Verdana"/>
          <w:color w:val="000000"/>
          <w:sz w:val="24"/>
          <w:szCs w:val="24"/>
        </w:rPr>
        <w:t>NRR</w:t>
      </w:r>
      <w:proofErr w:type="spellEnd"/>
      <w:r w:rsidRPr="00807604">
        <w:rPr>
          <w:rFonts w:ascii="Verdana" w:hAnsi="Verdana"/>
          <w:color w:val="000000"/>
          <w:sz w:val="24"/>
          <w:szCs w:val="24"/>
        </w:rPr>
        <w:t xml:space="preserve"> 1 - Disposições Gerais (Revogada pela Portaria </w:t>
      </w:r>
      <w:proofErr w:type="spellStart"/>
      <w:r w:rsidRPr="00807604">
        <w:rPr>
          <w:rFonts w:ascii="Verdana" w:hAnsi="Verdana"/>
          <w:color w:val="000000"/>
          <w:sz w:val="24"/>
          <w:szCs w:val="24"/>
        </w:rPr>
        <w:t>MTE</w:t>
      </w:r>
      <w:proofErr w:type="spellEnd"/>
      <w:r w:rsidRPr="00807604">
        <w:rPr>
          <w:rFonts w:ascii="Verdana" w:hAnsi="Verdana"/>
          <w:color w:val="000000"/>
          <w:sz w:val="24"/>
          <w:szCs w:val="24"/>
        </w:rPr>
        <w:t xml:space="preserve"> 191/2008)</w:t>
      </w:r>
    </w:p>
    <w:p w14:paraId="7268C965" w14:textId="77777777" w:rsidR="00807604" w:rsidRPr="00807604" w:rsidRDefault="00807604" w:rsidP="00807604">
      <w:pPr>
        <w:spacing w:line="360" w:lineRule="auto"/>
        <w:ind w:left="708" w:right="-285" w:firstLine="708"/>
        <w:jc w:val="both"/>
        <w:rPr>
          <w:rFonts w:ascii="Verdana" w:hAnsi="Verdana"/>
          <w:color w:val="000000"/>
          <w:sz w:val="24"/>
          <w:szCs w:val="24"/>
        </w:rPr>
      </w:pPr>
      <w:proofErr w:type="spellStart"/>
      <w:r w:rsidRPr="00807604">
        <w:rPr>
          <w:rFonts w:ascii="Verdana" w:hAnsi="Verdana"/>
          <w:color w:val="000000"/>
          <w:sz w:val="24"/>
          <w:szCs w:val="24"/>
        </w:rPr>
        <w:t>NRR</w:t>
      </w:r>
      <w:proofErr w:type="spellEnd"/>
      <w:r w:rsidRPr="00807604">
        <w:rPr>
          <w:rFonts w:ascii="Verdana" w:hAnsi="Verdana"/>
          <w:color w:val="000000"/>
          <w:sz w:val="24"/>
          <w:szCs w:val="24"/>
        </w:rPr>
        <w:t xml:space="preserve"> 2 - Serviço Especializado em Prevenção de Acidentes do Trabalho Rural (Revogada pela Portaria </w:t>
      </w:r>
      <w:proofErr w:type="spellStart"/>
      <w:r w:rsidRPr="00807604">
        <w:rPr>
          <w:rFonts w:ascii="Verdana" w:hAnsi="Verdana"/>
          <w:color w:val="000000"/>
          <w:sz w:val="24"/>
          <w:szCs w:val="24"/>
        </w:rPr>
        <w:t>MTE</w:t>
      </w:r>
      <w:proofErr w:type="spellEnd"/>
      <w:r w:rsidRPr="00807604">
        <w:rPr>
          <w:rFonts w:ascii="Verdana" w:hAnsi="Verdana"/>
          <w:color w:val="000000"/>
          <w:sz w:val="24"/>
          <w:szCs w:val="24"/>
        </w:rPr>
        <w:t xml:space="preserve"> 191/2008)</w:t>
      </w:r>
    </w:p>
    <w:p w14:paraId="49776A01" w14:textId="77777777" w:rsidR="00807604" w:rsidRPr="00807604" w:rsidRDefault="00807604" w:rsidP="00807604">
      <w:pPr>
        <w:spacing w:line="360" w:lineRule="auto"/>
        <w:ind w:left="708" w:right="-285" w:firstLine="708"/>
        <w:jc w:val="both"/>
        <w:rPr>
          <w:rFonts w:ascii="Verdana" w:hAnsi="Verdana"/>
          <w:color w:val="000000"/>
          <w:sz w:val="24"/>
          <w:szCs w:val="24"/>
        </w:rPr>
      </w:pPr>
      <w:proofErr w:type="spellStart"/>
      <w:r w:rsidRPr="00807604">
        <w:rPr>
          <w:rFonts w:ascii="Verdana" w:hAnsi="Verdana"/>
          <w:color w:val="000000"/>
          <w:sz w:val="24"/>
          <w:szCs w:val="24"/>
        </w:rPr>
        <w:t>NRR</w:t>
      </w:r>
      <w:proofErr w:type="spellEnd"/>
      <w:r w:rsidRPr="00807604">
        <w:rPr>
          <w:rFonts w:ascii="Verdana" w:hAnsi="Verdana"/>
          <w:color w:val="000000"/>
          <w:sz w:val="24"/>
          <w:szCs w:val="24"/>
        </w:rPr>
        <w:t xml:space="preserve"> 3 - Comissão Interna De Prevenção De Acidentes Do Trabalho Rural (Revogada pela Portaria </w:t>
      </w:r>
      <w:proofErr w:type="spellStart"/>
      <w:r w:rsidRPr="00807604">
        <w:rPr>
          <w:rFonts w:ascii="Verdana" w:hAnsi="Verdana"/>
          <w:color w:val="000000"/>
          <w:sz w:val="24"/>
          <w:szCs w:val="24"/>
        </w:rPr>
        <w:t>MTE</w:t>
      </w:r>
      <w:proofErr w:type="spellEnd"/>
      <w:r w:rsidRPr="00807604">
        <w:rPr>
          <w:rFonts w:ascii="Verdana" w:hAnsi="Verdana"/>
          <w:color w:val="000000"/>
          <w:sz w:val="24"/>
          <w:szCs w:val="24"/>
        </w:rPr>
        <w:t xml:space="preserve"> 191/2008)</w:t>
      </w:r>
    </w:p>
    <w:p w14:paraId="4AF17524" w14:textId="77777777" w:rsidR="00807604" w:rsidRPr="00807604" w:rsidRDefault="00807604" w:rsidP="00807604">
      <w:pPr>
        <w:spacing w:line="360" w:lineRule="auto"/>
        <w:ind w:left="708" w:right="-285" w:firstLine="708"/>
        <w:jc w:val="both"/>
        <w:rPr>
          <w:rFonts w:ascii="Verdana" w:hAnsi="Verdana"/>
          <w:color w:val="000000"/>
          <w:sz w:val="24"/>
          <w:szCs w:val="24"/>
        </w:rPr>
      </w:pPr>
      <w:proofErr w:type="spellStart"/>
      <w:r w:rsidRPr="00807604">
        <w:rPr>
          <w:rFonts w:ascii="Verdana" w:hAnsi="Verdana"/>
          <w:color w:val="000000"/>
          <w:sz w:val="24"/>
          <w:szCs w:val="24"/>
        </w:rPr>
        <w:t>NRR</w:t>
      </w:r>
      <w:proofErr w:type="spellEnd"/>
      <w:r w:rsidRPr="00807604">
        <w:rPr>
          <w:rFonts w:ascii="Verdana" w:hAnsi="Verdana"/>
          <w:color w:val="000000"/>
          <w:sz w:val="24"/>
          <w:szCs w:val="24"/>
        </w:rPr>
        <w:t xml:space="preserve"> 4 - Equipamento De Proteção Individual - EPI(Revogada pela Portaria </w:t>
      </w:r>
      <w:proofErr w:type="spellStart"/>
      <w:r w:rsidRPr="00807604">
        <w:rPr>
          <w:rFonts w:ascii="Verdana" w:hAnsi="Verdana"/>
          <w:color w:val="000000"/>
          <w:sz w:val="24"/>
          <w:szCs w:val="24"/>
        </w:rPr>
        <w:t>MTE</w:t>
      </w:r>
      <w:proofErr w:type="spellEnd"/>
      <w:r w:rsidRPr="00807604">
        <w:rPr>
          <w:rFonts w:ascii="Verdana" w:hAnsi="Verdana"/>
          <w:color w:val="000000"/>
          <w:sz w:val="24"/>
          <w:szCs w:val="24"/>
        </w:rPr>
        <w:t xml:space="preserve"> 191/2008)</w:t>
      </w:r>
    </w:p>
    <w:p w14:paraId="47272BCE" w14:textId="0ADDD8DA" w:rsidR="00C221F6" w:rsidRDefault="00807604" w:rsidP="00807604">
      <w:pPr>
        <w:spacing w:line="360" w:lineRule="auto"/>
        <w:ind w:left="708" w:right="-285" w:firstLine="708"/>
        <w:jc w:val="both"/>
        <w:rPr>
          <w:rFonts w:ascii="Verdana" w:hAnsi="Verdana"/>
          <w:color w:val="000000"/>
          <w:sz w:val="24"/>
          <w:szCs w:val="24"/>
        </w:rPr>
      </w:pPr>
      <w:proofErr w:type="spellStart"/>
      <w:r w:rsidRPr="00807604">
        <w:rPr>
          <w:rFonts w:ascii="Verdana" w:hAnsi="Verdana"/>
          <w:color w:val="000000"/>
          <w:sz w:val="24"/>
          <w:szCs w:val="24"/>
        </w:rPr>
        <w:t>NRR</w:t>
      </w:r>
      <w:proofErr w:type="spellEnd"/>
      <w:r w:rsidRPr="00807604">
        <w:rPr>
          <w:rFonts w:ascii="Verdana" w:hAnsi="Verdana"/>
          <w:color w:val="000000"/>
          <w:sz w:val="24"/>
          <w:szCs w:val="24"/>
        </w:rPr>
        <w:t xml:space="preserve"> 5 - Produtos Químicos (Revogada pela Portaria </w:t>
      </w:r>
      <w:proofErr w:type="spellStart"/>
      <w:r w:rsidRPr="00807604">
        <w:rPr>
          <w:rFonts w:ascii="Verdana" w:hAnsi="Verdana"/>
          <w:color w:val="000000"/>
          <w:sz w:val="24"/>
          <w:szCs w:val="24"/>
        </w:rPr>
        <w:t>MTE</w:t>
      </w:r>
      <w:proofErr w:type="spellEnd"/>
      <w:r w:rsidRPr="00807604">
        <w:rPr>
          <w:rFonts w:ascii="Verdana" w:hAnsi="Verdana"/>
          <w:color w:val="000000"/>
          <w:sz w:val="24"/>
          <w:szCs w:val="24"/>
        </w:rPr>
        <w:t xml:space="preserve"> 191/2008)</w:t>
      </w:r>
    </w:p>
    <w:p w14:paraId="6B64C81D" w14:textId="52BD7C89" w:rsidR="00C221F6" w:rsidRPr="00A079E2" w:rsidRDefault="00C221F6" w:rsidP="009D5326">
      <w:pPr>
        <w:spacing w:line="360" w:lineRule="auto"/>
        <w:ind w:left="708" w:right="-285" w:firstLine="708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Tais normas </w:t>
      </w:r>
      <w:r w:rsidRPr="00C221F6">
        <w:rPr>
          <w:rFonts w:ascii="Verdana" w:hAnsi="Verdana"/>
          <w:sz w:val="24"/>
          <w:szCs w:val="24"/>
        </w:rPr>
        <w:t>aplicam-se, no que couber, aos trabalhadores avulsos, às entidades ou empresas que lhes tomem o serviço e aos sindicatos representativos das respectivas categorias profissionais</w:t>
      </w:r>
      <w:r>
        <w:rPr>
          <w:rFonts w:ascii="Verdana" w:hAnsi="Verdana"/>
          <w:sz w:val="24"/>
          <w:szCs w:val="24"/>
        </w:rPr>
        <w:t xml:space="preserve">, sendo que a sua observância ainda </w:t>
      </w:r>
      <w:r w:rsidRPr="00C221F6">
        <w:rPr>
          <w:rFonts w:ascii="Verdana" w:hAnsi="Verdana"/>
          <w:sz w:val="24"/>
          <w:szCs w:val="24"/>
        </w:rPr>
        <w:t>não desobriga as empresas do cumprimento de outras disposições que, com relação à matéria, sejam incluídas em códigos de obras ou regulamentos sanitários dos estados ou municípios, e outras, oriundas de convenções e acordos coletivos de trabalho.</w:t>
      </w:r>
    </w:p>
    <w:p w14:paraId="137FB96A" w14:textId="2DCCBD2A" w:rsidR="003F4FB6" w:rsidRDefault="002D2F64" w:rsidP="009D5326">
      <w:pPr>
        <w:spacing w:line="360" w:lineRule="auto"/>
        <w:ind w:left="708" w:right="-285" w:firstLine="708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 adoecimento, as lesões, as sequelas e até mesmo a morte dos trabalhadores pode</w:t>
      </w:r>
      <w:r w:rsidR="00FB1416">
        <w:rPr>
          <w:rFonts w:ascii="Verdana" w:hAnsi="Verdana"/>
          <w:sz w:val="24"/>
          <w:szCs w:val="24"/>
        </w:rPr>
        <w:t>m</w:t>
      </w:r>
      <w:r>
        <w:rPr>
          <w:rFonts w:ascii="Verdana" w:hAnsi="Verdana"/>
          <w:sz w:val="24"/>
          <w:szCs w:val="24"/>
        </w:rPr>
        <w:t xml:space="preserve"> </w:t>
      </w:r>
      <w:r w:rsidR="00FB1416">
        <w:rPr>
          <w:rFonts w:ascii="Verdana" w:hAnsi="Verdana"/>
          <w:sz w:val="24"/>
          <w:szCs w:val="24"/>
        </w:rPr>
        <w:t>ter o Nexo Causal estabelecido diretamente com o descumprimento, pelo empregador</w:t>
      </w:r>
      <w:r w:rsidR="00A11163">
        <w:rPr>
          <w:rFonts w:ascii="Verdana" w:hAnsi="Verdana"/>
          <w:sz w:val="24"/>
          <w:szCs w:val="24"/>
        </w:rPr>
        <w:t xml:space="preserve"> ou pelo empregado</w:t>
      </w:r>
      <w:r w:rsidR="00FB1416">
        <w:rPr>
          <w:rFonts w:ascii="Verdana" w:hAnsi="Verdana"/>
          <w:sz w:val="24"/>
          <w:szCs w:val="24"/>
        </w:rPr>
        <w:t xml:space="preserve">, </w:t>
      </w:r>
      <w:r w:rsidR="00A11163">
        <w:rPr>
          <w:rFonts w:ascii="Verdana" w:hAnsi="Verdana"/>
          <w:sz w:val="24"/>
          <w:szCs w:val="24"/>
        </w:rPr>
        <w:t>da Legislação e das Regulamentações existentes referentes à saúde e a Segurança do Trabalho.</w:t>
      </w:r>
    </w:p>
    <w:p w14:paraId="2281B812" w14:textId="3E242684" w:rsidR="00D46486" w:rsidRDefault="00D46486" w:rsidP="009D5326">
      <w:pPr>
        <w:spacing w:line="360" w:lineRule="auto"/>
        <w:ind w:left="708" w:right="-285" w:firstLine="708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Por exemplo, </w:t>
      </w:r>
      <w:r w:rsidR="00D608F1">
        <w:rPr>
          <w:rFonts w:ascii="Verdana" w:hAnsi="Verdana"/>
          <w:sz w:val="24"/>
          <w:szCs w:val="24"/>
        </w:rPr>
        <w:t xml:space="preserve">se </w:t>
      </w:r>
      <w:r>
        <w:rPr>
          <w:rFonts w:ascii="Verdana" w:hAnsi="Verdana"/>
          <w:sz w:val="24"/>
          <w:szCs w:val="24"/>
        </w:rPr>
        <w:t xml:space="preserve">um Acidente de Trabalho </w:t>
      </w:r>
      <w:r w:rsidR="00D608F1">
        <w:rPr>
          <w:rFonts w:ascii="Verdana" w:hAnsi="Verdana"/>
          <w:sz w:val="24"/>
          <w:szCs w:val="24"/>
        </w:rPr>
        <w:t xml:space="preserve">é </w:t>
      </w:r>
      <w:r w:rsidR="00963001">
        <w:rPr>
          <w:rFonts w:ascii="Verdana" w:hAnsi="Verdana"/>
          <w:sz w:val="24"/>
          <w:szCs w:val="24"/>
        </w:rPr>
        <w:t>que ocorra durante a operação de</w:t>
      </w:r>
      <w:r>
        <w:rPr>
          <w:rFonts w:ascii="Verdana" w:hAnsi="Verdana"/>
          <w:sz w:val="24"/>
          <w:szCs w:val="24"/>
        </w:rPr>
        <w:t xml:space="preserve"> uma máquina defeituosa </w:t>
      </w:r>
      <w:r w:rsidR="00D608F1">
        <w:rPr>
          <w:rFonts w:ascii="Verdana" w:hAnsi="Verdana"/>
          <w:sz w:val="24"/>
          <w:szCs w:val="24"/>
        </w:rPr>
        <w:t>que não tenha recebido as</w:t>
      </w:r>
      <w:r>
        <w:rPr>
          <w:rFonts w:ascii="Verdana" w:hAnsi="Verdana"/>
          <w:sz w:val="24"/>
          <w:szCs w:val="24"/>
        </w:rPr>
        <w:t xml:space="preserve"> necessárias medidas de manutenção preventiva e </w:t>
      </w:r>
      <w:r>
        <w:rPr>
          <w:rFonts w:ascii="Verdana" w:hAnsi="Verdana"/>
          <w:sz w:val="24"/>
          <w:szCs w:val="24"/>
        </w:rPr>
        <w:lastRenderedPageBreak/>
        <w:t>corretiva</w:t>
      </w:r>
      <w:r w:rsidR="00D608F1">
        <w:rPr>
          <w:rFonts w:ascii="Verdana" w:hAnsi="Verdana"/>
          <w:sz w:val="24"/>
          <w:szCs w:val="24"/>
        </w:rPr>
        <w:t xml:space="preserve">, e que </w:t>
      </w:r>
      <w:r w:rsidR="00963001">
        <w:rPr>
          <w:rFonts w:ascii="Verdana" w:hAnsi="Verdana"/>
          <w:sz w:val="24"/>
          <w:szCs w:val="24"/>
        </w:rPr>
        <w:t xml:space="preserve">mesmo assim </w:t>
      </w:r>
      <w:r w:rsidR="00D608F1">
        <w:rPr>
          <w:rFonts w:ascii="Verdana" w:hAnsi="Verdana"/>
          <w:sz w:val="24"/>
          <w:szCs w:val="24"/>
        </w:rPr>
        <w:t>seja mantida em funcionamento pelo empregador</w:t>
      </w:r>
      <w:r w:rsidR="00963001">
        <w:rPr>
          <w:rFonts w:ascii="Verdana" w:hAnsi="Verdana"/>
          <w:sz w:val="24"/>
          <w:szCs w:val="24"/>
        </w:rPr>
        <w:t xml:space="preserve">, permite estabelecer um vínculo causal direto entre a atitude </w:t>
      </w:r>
      <w:r w:rsidR="008F2220">
        <w:rPr>
          <w:rFonts w:ascii="Verdana" w:hAnsi="Verdana"/>
          <w:sz w:val="24"/>
          <w:szCs w:val="24"/>
        </w:rPr>
        <w:t>e/ou omissão do empregador e a</w:t>
      </w:r>
      <w:r w:rsidR="0052726A">
        <w:rPr>
          <w:rFonts w:ascii="Verdana" w:hAnsi="Verdana"/>
          <w:sz w:val="24"/>
          <w:szCs w:val="24"/>
        </w:rPr>
        <w:t xml:space="preserve"> doença, lesão, sequela ou morte provocada pela condição insegura que não foi devidamente controlada. E é muito comum que o dano à saúde daí resultante tenha duração maior que 30 dias, o que caracteriza a existência de </w:t>
      </w:r>
      <w:r w:rsidR="007A7849">
        <w:rPr>
          <w:rFonts w:ascii="Verdana" w:hAnsi="Verdana"/>
          <w:sz w:val="24"/>
          <w:szCs w:val="24"/>
        </w:rPr>
        <w:t>lesão</w:t>
      </w:r>
      <w:r w:rsidR="0052726A">
        <w:rPr>
          <w:rFonts w:ascii="Verdana" w:hAnsi="Verdana"/>
          <w:sz w:val="24"/>
          <w:szCs w:val="24"/>
        </w:rPr>
        <w:t xml:space="preserve"> Corporal Grave</w:t>
      </w:r>
      <w:r w:rsidR="007A7849">
        <w:rPr>
          <w:rFonts w:ascii="Verdana" w:hAnsi="Verdana"/>
          <w:sz w:val="24"/>
          <w:szCs w:val="24"/>
        </w:rPr>
        <w:t>, de acordo com os critérios do direito Penal.</w:t>
      </w:r>
    </w:p>
    <w:p w14:paraId="0BE6665B" w14:textId="317CBC84" w:rsidR="007A7849" w:rsidRDefault="007A7849" w:rsidP="009D5326">
      <w:pPr>
        <w:spacing w:line="360" w:lineRule="auto"/>
        <w:ind w:left="708" w:right="-285" w:firstLine="708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As consequências da produção de um dano corporal de natureza grave ou </w:t>
      </w:r>
      <w:r w:rsidR="009F4C40">
        <w:rPr>
          <w:rFonts w:ascii="Verdana" w:hAnsi="Verdana"/>
          <w:sz w:val="24"/>
          <w:szCs w:val="24"/>
        </w:rPr>
        <w:t xml:space="preserve">mesmo da morte do trabalhador, </w:t>
      </w:r>
      <w:r w:rsidR="00CF227D">
        <w:rPr>
          <w:rFonts w:ascii="Verdana" w:hAnsi="Verdana"/>
          <w:sz w:val="24"/>
          <w:szCs w:val="24"/>
        </w:rPr>
        <w:t xml:space="preserve">como decorrência total ou parcial da existência de Condição Insegura de Trabalho, </w:t>
      </w:r>
      <w:r w:rsidR="009F4C40">
        <w:rPr>
          <w:rFonts w:ascii="Verdana" w:hAnsi="Verdana"/>
          <w:sz w:val="24"/>
          <w:szCs w:val="24"/>
        </w:rPr>
        <w:t xml:space="preserve">devem ser objeto da discussão dos Juristas, mas certamente </w:t>
      </w:r>
      <w:r w:rsidR="00CF227D">
        <w:rPr>
          <w:rFonts w:ascii="Verdana" w:hAnsi="Verdana"/>
          <w:sz w:val="24"/>
          <w:szCs w:val="24"/>
        </w:rPr>
        <w:t>h</w:t>
      </w:r>
      <w:r w:rsidR="008B789B">
        <w:rPr>
          <w:rFonts w:ascii="Verdana" w:hAnsi="Verdana"/>
          <w:sz w:val="24"/>
          <w:szCs w:val="24"/>
        </w:rPr>
        <w:t>á</w:t>
      </w:r>
      <w:r w:rsidR="009F4C40">
        <w:rPr>
          <w:rFonts w:ascii="Verdana" w:hAnsi="Verdana"/>
          <w:sz w:val="24"/>
          <w:szCs w:val="24"/>
        </w:rPr>
        <w:t xml:space="preserve"> margem para discussão quanto à responsabilização </w:t>
      </w:r>
      <w:r w:rsidR="00BF41EB">
        <w:rPr>
          <w:rFonts w:ascii="Verdana" w:hAnsi="Verdana"/>
          <w:sz w:val="24"/>
          <w:szCs w:val="24"/>
        </w:rPr>
        <w:t xml:space="preserve">criminal e/ou civil </w:t>
      </w:r>
      <w:r w:rsidR="009F4C40">
        <w:rPr>
          <w:rFonts w:ascii="Verdana" w:hAnsi="Verdana"/>
          <w:sz w:val="24"/>
          <w:szCs w:val="24"/>
        </w:rPr>
        <w:t>dos gestores</w:t>
      </w:r>
      <w:r w:rsidR="008B789B">
        <w:rPr>
          <w:rFonts w:ascii="Verdana" w:hAnsi="Verdana"/>
          <w:sz w:val="24"/>
          <w:szCs w:val="24"/>
        </w:rPr>
        <w:t>, responsáveis pela manutenção da condição insegura, e mesmo de colegas de trabalho</w:t>
      </w:r>
      <w:r w:rsidR="00BF41EB">
        <w:rPr>
          <w:rFonts w:ascii="Verdana" w:hAnsi="Verdana"/>
          <w:sz w:val="24"/>
          <w:szCs w:val="24"/>
        </w:rPr>
        <w:t xml:space="preserve"> que contribuam com a feitura de Atos inseguros para o adoecimento, lesão</w:t>
      </w:r>
      <w:r w:rsidR="005E35F9">
        <w:rPr>
          <w:rFonts w:ascii="Verdana" w:hAnsi="Verdana"/>
          <w:sz w:val="24"/>
          <w:szCs w:val="24"/>
        </w:rPr>
        <w:t xml:space="preserve">, sequela </w:t>
      </w:r>
      <w:r w:rsidR="00BF41EB">
        <w:rPr>
          <w:rFonts w:ascii="Verdana" w:hAnsi="Verdana"/>
          <w:sz w:val="24"/>
          <w:szCs w:val="24"/>
        </w:rPr>
        <w:t xml:space="preserve"> ou </w:t>
      </w:r>
      <w:r w:rsidR="005E35F9">
        <w:rPr>
          <w:rFonts w:ascii="Verdana" w:hAnsi="Verdana"/>
          <w:sz w:val="24"/>
          <w:szCs w:val="24"/>
        </w:rPr>
        <w:t xml:space="preserve">mesmo </w:t>
      </w:r>
      <w:r w:rsidR="00BF41EB">
        <w:rPr>
          <w:rFonts w:ascii="Verdana" w:hAnsi="Verdana"/>
          <w:sz w:val="24"/>
          <w:szCs w:val="24"/>
        </w:rPr>
        <w:t>morte do trabalhador</w:t>
      </w:r>
      <w:r w:rsidR="005E35F9">
        <w:rPr>
          <w:rFonts w:ascii="Verdana" w:hAnsi="Verdana"/>
          <w:sz w:val="24"/>
          <w:szCs w:val="24"/>
        </w:rPr>
        <w:t>.</w:t>
      </w:r>
    </w:p>
    <w:p w14:paraId="1958D106" w14:textId="57F5C485" w:rsidR="005E35F9" w:rsidRDefault="005E35F9" w:rsidP="009D5326">
      <w:pPr>
        <w:spacing w:line="360" w:lineRule="auto"/>
        <w:ind w:left="708" w:right="-285" w:firstLine="708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Assim, sendo, embora ainda não seja algo comum, </w:t>
      </w:r>
      <w:r w:rsidR="007C0513">
        <w:rPr>
          <w:rFonts w:ascii="Verdana" w:hAnsi="Verdana"/>
          <w:sz w:val="24"/>
          <w:szCs w:val="24"/>
        </w:rPr>
        <w:t xml:space="preserve">a discussão </w:t>
      </w:r>
      <w:r w:rsidR="00C46670">
        <w:rPr>
          <w:rFonts w:ascii="Verdana" w:hAnsi="Verdana"/>
          <w:sz w:val="24"/>
          <w:szCs w:val="24"/>
        </w:rPr>
        <w:t xml:space="preserve">jurídica </w:t>
      </w:r>
      <w:r w:rsidR="007C0513">
        <w:rPr>
          <w:rFonts w:ascii="Verdana" w:hAnsi="Verdana"/>
          <w:sz w:val="24"/>
          <w:szCs w:val="24"/>
        </w:rPr>
        <w:t>quanto a realização de Crime pelo empregador e pelos seus prepostos</w:t>
      </w:r>
      <w:r w:rsidR="009808BC">
        <w:rPr>
          <w:rFonts w:ascii="Verdana" w:hAnsi="Verdana"/>
          <w:sz w:val="24"/>
          <w:szCs w:val="24"/>
        </w:rPr>
        <w:t xml:space="preserve"> (gestores, encarregados, líderes...)</w:t>
      </w:r>
      <w:r w:rsidR="007C0513">
        <w:rPr>
          <w:rFonts w:ascii="Verdana" w:hAnsi="Verdana"/>
          <w:sz w:val="24"/>
          <w:szCs w:val="24"/>
        </w:rPr>
        <w:t xml:space="preserve">, e a consequente responsabilidade criminal dos mesmos, </w:t>
      </w:r>
      <w:r w:rsidR="009808BC">
        <w:rPr>
          <w:rFonts w:ascii="Verdana" w:hAnsi="Verdana"/>
          <w:sz w:val="24"/>
          <w:szCs w:val="24"/>
        </w:rPr>
        <w:t>existe um terreno fértil para debates nesta área.</w:t>
      </w:r>
      <w:r w:rsidR="00C46670">
        <w:rPr>
          <w:rFonts w:ascii="Verdana" w:hAnsi="Verdana"/>
          <w:sz w:val="24"/>
          <w:szCs w:val="24"/>
        </w:rPr>
        <w:t xml:space="preserve"> Opor outro lado, a responsabilidade civil do empregador </w:t>
      </w:r>
      <w:r w:rsidR="000D7D6B">
        <w:rPr>
          <w:rFonts w:ascii="Verdana" w:hAnsi="Verdana"/>
          <w:sz w:val="24"/>
          <w:szCs w:val="24"/>
        </w:rPr>
        <w:t xml:space="preserve">e o seu dever de indenizar, </w:t>
      </w:r>
      <w:r w:rsidR="00C46670">
        <w:rPr>
          <w:rFonts w:ascii="Verdana" w:hAnsi="Verdana"/>
          <w:sz w:val="24"/>
          <w:szCs w:val="24"/>
        </w:rPr>
        <w:t xml:space="preserve">é um tema </w:t>
      </w:r>
      <w:r w:rsidR="000D7D6B">
        <w:rPr>
          <w:rFonts w:ascii="Verdana" w:hAnsi="Verdana"/>
          <w:sz w:val="24"/>
          <w:szCs w:val="24"/>
        </w:rPr>
        <w:t>que é um objeto muito comum de ações na Justiça do Trabalho.</w:t>
      </w:r>
    </w:p>
    <w:p w14:paraId="0A80FB2F" w14:textId="38747EFA" w:rsidR="00CF3A28" w:rsidRPr="003247D2" w:rsidRDefault="00FD330A" w:rsidP="009D5326">
      <w:pPr>
        <w:spacing w:line="360" w:lineRule="auto"/>
        <w:ind w:left="708" w:right="-285" w:firstLine="708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Mais do que a responsabilização civil (que eventualmente atinge valores exagerados em decorrência de danos superdimensionados), t</w:t>
      </w:r>
      <w:r w:rsidR="00CF3A28">
        <w:rPr>
          <w:rFonts w:ascii="Verdana" w:hAnsi="Verdana"/>
          <w:sz w:val="24"/>
          <w:szCs w:val="24"/>
        </w:rPr>
        <w:t xml:space="preserve">alvez se a responsabilidade criminal dos </w:t>
      </w:r>
      <w:r w:rsidR="000413D3">
        <w:rPr>
          <w:rFonts w:ascii="Verdana" w:hAnsi="Verdana"/>
          <w:sz w:val="24"/>
          <w:szCs w:val="24"/>
        </w:rPr>
        <w:t xml:space="preserve">empregadores e dos </w:t>
      </w:r>
      <w:r w:rsidR="00CF3A28">
        <w:rPr>
          <w:rFonts w:ascii="Verdana" w:hAnsi="Verdana"/>
          <w:sz w:val="24"/>
          <w:szCs w:val="24"/>
        </w:rPr>
        <w:t>gestores</w:t>
      </w:r>
      <w:r w:rsidR="000413D3">
        <w:rPr>
          <w:rFonts w:ascii="Verdana" w:hAnsi="Verdana"/>
          <w:sz w:val="24"/>
          <w:szCs w:val="24"/>
        </w:rPr>
        <w:t xml:space="preserve"> por eles nomeados </w:t>
      </w:r>
      <w:r w:rsidR="00CF3A28">
        <w:rPr>
          <w:rFonts w:ascii="Verdana" w:hAnsi="Verdana"/>
          <w:sz w:val="24"/>
          <w:szCs w:val="24"/>
        </w:rPr>
        <w:t xml:space="preserve">fosse </w:t>
      </w:r>
      <w:r w:rsidR="000413D3">
        <w:rPr>
          <w:rFonts w:ascii="Verdana" w:hAnsi="Verdana"/>
          <w:sz w:val="24"/>
          <w:szCs w:val="24"/>
        </w:rPr>
        <w:t xml:space="preserve">um </w:t>
      </w:r>
      <w:r w:rsidR="00CF3A28">
        <w:rPr>
          <w:rFonts w:ascii="Verdana" w:hAnsi="Verdana"/>
          <w:sz w:val="24"/>
          <w:szCs w:val="24"/>
        </w:rPr>
        <w:t xml:space="preserve">tema mais comum de discussão nos </w:t>
      </w:r>
      <w:r w:rsidR="006C2B24">
        <w:rPr>
          <w:rFonts w:ascii="Verdana" w:hAnsi="Verdana"/>
          <w:sz w:val="24"/>
          <w:szCs w:val="24"/>
        </w:rPr>
        <w:t xml:space="preserve">nossos </w:t>
      </w:r>
      <w:r w:rsidR="00CF3A28">
        <w:rPr>
          <w:rFonts w:ascii="Verdana" w:hAnsi="Verdana"/>
          <w:sz w:val="24"/>
          <w:szCs w:val="24"/>
        </w:rPr>
        <w:t xml:space="preserve">tribunais, as normas de saúde e segurança do trabalho fossem levadas mais </w:t>
      </w:r>
      <w:r w:rsidR="000413D3">
        <w:rPr>
          <w:rFonts w:ascii="Verdana" w:hAnsi="Verdana"/>
          <w:sz w:val="24"/>
          <w:szCs w:val="24"/>
        </w:rPr>
        <w:t xml:space="preserve">em consideração e houvesse mais preocupação por parte dos </w:t>
      </w:r>
      <w:r w:rsidR="000413D3">
        <w:rPr>
          <w:rFonts w:ascii="Verdana" w:hAnsi="Verdana"/>
          <w:sz w:val="24"/>
          <w:szCs w:val="24"/>
        </w:rPr>
        <w:lastRenderedPageBreak/>
        <w:t xml:space="preserve">empregadores com o seu </w:t>
      </w:r>
      <w:r w:rsidR="006C2B24">
        <w:rPr>
          <w:rFonts w:ascii="Verdana" w:hAnsi="Verdana"/>
          <w:sz w:val="24"/>
          <w:szCs w:val="24"/>
        </w:rPr>
        <w:t xml:space="preserve">efetivo </w:t>
      </w:r>
      <w:r w:rsidR="000413D3">
        <w:rPr>
          <w:rFonts w:ascii="Verdana" w:hAnsi="Verdana"/>
          <w:sz w:val="24"/>
          <w:szCs w:val="24"/>
        </w:rPr>
        <w:t>cumprimento</w:t>
      </w:r>
      <w:r w:rsidR="009C2236">
        <w:rPr>
          <w:rFonts w:ascii="Verdana" w:hAnsi="Verdana"/>
          <w:sz w:val="24"/>
          <w:szCs w:val="24"/>
        </w:rPr>
        <w:t xml:space="preserve"> e com seu aperfeiçoamento contínuo</w:t>
      </w:r>
      <w:r w:rsidR="006C2B24">
        <w:rPr>
          <w:rFonts w:ascii="Verdana" w:hAnsi="Verdana"/>
          <w:sz w:val="24"/>
          <w:szCs w:val="24"/>
        </w:rPr>
        <w:t xml:space="preserve">. </w:t>
      </w:r>
      <w:r w:rsidR="000E6A3C">
        <w:rPr>
          <w:rFonts w:ascii="Verdana" w:hAnsi="Verdana"/>
          <w:sz w:val="24"/>
          <w:szCs w:val="24"/>
        </w:rPr>
        <w:t>Obviamente, este processo não poderia advir de uma mudança radical, mas deveria passar por ampla discussão</w:t>
      </w:r>
      <w:r w:rsidR="00D3118B">
        <w:rPr>
          <w:rFonts w:ascii="Verdana" w:hAnsi="Verdana"/>
          <w:sz w:val="24"/>
          <w:szCs w:val="24"/>
        </w:rPr>
        <w:t xml:space="preserve">: No século </w:t>
      </w:r>
      <w:proofErr w:type="spellStart"/>
      <w:r w:rsidR="00D3118B">
        <w:rPr>
          <w:rFonts w:ascii="Verdana" w:hAnsi="Verdana"/>
          <w:sz w:val="24"/>
          <w:szCs w:val="24"/>
        </w:rPr>
        <w:t>XXI</w:t>
      </w:r>
      <w:proofErr w:type="spellEnd"/>
      <w:r w:rsidR="00D3118B">
        <w:rPr>
          <w:rFonts w:ascii="Verdana" w:hAnsi="Verdana"/>
          <w:sz w:val="24"/>
          <w:szCs w:val="24"/>
        </w:rPr>
        <w:t xml:space="preserve">, o trabalho não pode ser deletério para o ser humano. Também o adoecimento não pode chegar a se tornar desejável, por ser um meio </w:t>
      </w:r>
      <w:r w:rsidR="00267D7A">
        <w:rPr>
          <w:rFonts w:ascii="Verdana" w:hAnsi="Verdana"/>
          <w:sz w:val="24"/>
          <w:szCs w:val="24"/>
        </w:rPr>
        <w:t xml:space="preserve">mais fácil de enriquecimento do que ganhar em uma loteria ou economizar durante toda a vida. É preciso </w:t>
      </w:r>
      <w:r w:rsidR="008A4E7C">
        <w:rPr>
          <w:rFonts w:ascii="Verdana" w:hAnsi="Verdana"/>
          <w:sz w:val="24"/>
          <w:szCs w:val="24"/>
        </w:rPr>
        <w:t xml:space="preserve">refletir sobre o que vem ocorrendo desde meados do Século </w:t>
      </w:r>
      <w:proofErr w:type="spellStart"/>
      <w:r w:rsidR="008A4E7C">
        <w:rPr>
          <w:rFonts w:ascii="Verdana" w:hAnsi="Verdana"/>
          <w:sz w:val="24"/>
          <w:szCs w:val="24"/>
        </w:rPr>
        <w:t>XX</w:t>
      </w:r>
      <w:proofErr w:type="spellEnd"/>
      <w:r w:rsidR="008A4E7C">
        <w:rPr>
          <w:rFonts w:ascii="Verdana" w:hAnsi="Verdana"/>
          <w:sz w:val="24"/>
          <w:szCs w:val="24"/>
        </w:rPr>
        <w:t xml:space="preserve">, procurar identificar os erros e corrigir os rumos, a fim de que nossos filhos e netos, no século </w:t>
      </w:r>
      <w:proofErr w:type="spellStart"/>
      <w:r w:rsidR="008A4E7C">
        <w:rPr>
          <w:rFonts w:ascii="Verdana" w:hAnsi="Verdana"/>
          <w:sz w:val="24"/>
          <w:szCs w:val="24"/>
        </w:rPr>
        <w:t>XXI</w:t>
      </w:r>
      <w:proofErr w:type="spellEnd"/>
      <w:r w:rsidR="008A4E7C">
        <w:rPr>
          <w:rFonts w:ascii="Verdana" w:hAnsi="Verdana"/>
          <w:sz w:val="24"/>
          <w:szCs w:val="24"/>
        </w:rPr>
        <w:t xml:space="preserve">, não sejam consumidos pela </w:t>
      </w:r>
      <w:r w:rsidR="00E4184F">
        <w:rPr>
          <w:rFonts w:ascii="Verdana" w:hAnsi="Verdana"/>
          <w:sz w:val="24"/>
          <w:szCs w:val="24"/>
        </w:rPr>
        <w:t>situação Caótica que tem sido criada com partic</w:t>
      </w:r>
      <w:bookmarkStart w:id="0" w:name="_GoBack"/>
      <w:bookmarkEnd w:id="0"/>
      <w:r w:rsidR="00E4184F">
        <w:rPr>
          <w:rFonts w:ascii="Verdana" w:hAnsi="Verdana"/>
          <w:sz w:val="24"/>
          <w:szCs w:val="24"/>
        </w:rPr>
        <w:t>ipação efetiva da nossa leniência e omissão.</w:t>
      </w:r>
    </w:p>
    <w:sectPr w:rsidR="00CF3A28" w:rsidRPr="003247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0EEAFA" w14:textId="77777777" w:rsidR="00BB0E1C" w:rsidRDefault="00BB0E1C" w:rsidP="0092088E">
      <w:pPr>
        <w:spacing w:after="0" w:line="240" w:lineRule="auto"/>
      </w:pPr>
      <w:r>
        <w:separator/>
      </w:r>
    </w:p>
  </w:endnote>
  <w:endnote w:type="continuationSeparator" w:id="0">
    <w:p w14:paraId="0E0225E7" w14:textId="77777777" w:rsidR="00BB0E1C" w:rsidRDefault="00BB0E1C" w:rsidP="00920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C0E612" w14:textId="77777777" w:rsidR="00BB0E1C" w:rsidRDefault="00BB0E1C" w:rsidP="0092088E">
      <w:pPr>
        <w:spacing w:after="0" w:line="240" w:lineRule="auto"/>
      </w:pPr>
      <w:r>
        <w:separator/>
      </w:r>
    </w:p>
  </w:footnote>
  <w:footnote w:type="continuationSeparator" w:id="0">
    <w:p w14:paraId="02FC2843" w14:textId="77777777" w:rsidR="00BB0E1C" w:rsidRDefault="00BB0E1C" w:rsidP="0092088E">
      <w:pPr>
        <w:spacing w:after="0" w:line="240" w:lineRule="auto"/>
      </w:pPr>
      <w:r>
        <w:continuationSeparator/>
      </w:r>
    </w:p>
  </w:footnote>
  <w:footnote w:id="1">
    <w:p w14:paraId="5E288D25" w14:textId="48D79E1D" w:rsidR="0092088E" w:rsidRPr="00A54C48" w:rsidRDefault="0092088E" w:rsidP="00A54C48">
      <w:pPr>
        <w:pStyle w:val="Textodenotaderodap"/>
        <w:spacing w:line="360" w:lineRule="auto"/>
        <w:jc w:val="both"/>
        <w:rPr>
          <w:rFonts w:ascii="Bookman Old Style" w:hAnsi="Bookman Old Style"/>
          <w:b/>
          <w:bCs/>
          <w:sz w:val="16"/>
          <w:szCs w:val="16"/>
        </w:rPr>
      </w:pPr>
      <w:r w:rsidRPr="00A54C48">
        <w:rPr>
          <w:rStyle w:val="Refdenotaderodap"/>
          <w:rFonts w:ascii="Bookman Old Style" w:hAnsi="Bookman Old Style"/>
          <w:b/>
          <w:bCs/>
          <w:sz w:val="16"/>
          <w:szCs w:val="16"/>
        </w:rPr>
        <w:footnoteRef/>
      </w:r>
      <w:r w:rsidRPr="00A54C48">
        <w:rPr>
          <w:rFonts w:ascii="Bookman Old Style" w:hAnsi="Bookman Old Style"/>
          <w:b/>
          <w:bCs/>
          <w:sz w:val="16"/>
          <w:szCs w:val="16"/>
        </w:rPr>
        <w:t xml:space="preserve"> De Plácido e </w:t>
      </w:r>
      <w:proofErr w:type="spellStart"/>
      <w:r w:rsidRPr="00A54C48">
        <w:rPr>
          <w:rFonts w:ascii="Bookman Old Style" w:hAnsi="Bookman Old Style"/>
          <w:b/>
          <w:bCs/>
          <w:sz w:val="16"/>
          <w:szCs w:val="16"/>
        </w:rPr>
        <w:t>Siçva</w:t>
      </w:r>
      <w:proofErr w:type="spellEnd"/>
      <w:r w:rsidRPr="00A54C48">
        <w:rPr>
          <w:rFonts w:ascii="Bookman Old Style" w:hAnsi="Bookman Old Style"/>
          <w:b/>
          <w:bCs/>
          <w:sz w:val="16"/>
          <w:szCs w:val="16"/>
        </w:rPr>
        <w:t xml:space="preserve"> </w:t>
      </w:r>
      <w:r w:rsidR="00A619DA">
        <w:rPr>
          <w:rFonts w:ascii="Bookman Old Style" w:hAnsi="Bookman Old Style"/>
          <w:b/>
          <w:bCs/>
          <w:sz w:val="16"/>
          <w:szCs w:val="16"/>
        </w:rPr>
        <w:t>–</w:t>
      </w:r>
      <w:r w:rsidRPr="00A54C48">
        <w:rPr>
          <w:rFonts w:ascii="Bookman Old Style" w:hAnsi="Bookman Old Style"/>
          <w:b/>
          <w:bCs/>
          <w:sz w:val="16"/>
          <w:szCs w:val="16"/>
        </w:rPr>
        <w:t xml:space="preserve"> </w:t>
      </w:r>
      <w:r w:rsidR="00A619DA">
        <w:rPr>
          <w:rFonts w:ascii="Bookman Old Style" w:hAnsi="Bookman Old Style"/>
          <w:b/>
          <w:bCs/>
          <w:sz w:val="16"/>
          <w:szCs w:val="16"/>
        </w:rPr>
        <w:t>“</w:t>
      </w:r>
      <w:r w:rsidRPr="00A54C48">
        <w:rPr>
          <w:rFonts w:ascii="Bookman Old Style" w:hAnsi="Bookman Old Style"/>
          <w:b/>
          <w:bCs/>
          <w:sz w:val="16"/>
          <w:szCs w:val="16"/>
        </w:rPr>
        <w:t>Vocabulário jurídico</w:t>
      </w:r>
      <w:r w:rsidR="00A619DA">
        <w:rPr>
          <w:rFonts w:ascii="Bookman Old Style" w:hAnsi="Bookman Old Style"/>
          <w:b/>
          <w:bCs/>
          <w:sz w:val="16"/>
          <w:szCs w:val="16"/>
        </w:rPr>
        <w:t>”</w:t>
      </w:r>
      <w:r w:rsidRPr="00A54C48">
        <w:rPr>
          <w:rFonts w:ascii="Bookman Old Style" w:hAnsi="Bookman Old Style"/>
          <w:b/>
          <w:bCs/>
          <w:sz w:val="16"/>
          <w:szCs w:val="16"/>
        </w:rPr>
        <w:t>, 31</w:t>
      </w:r>
      <w:r w:rsidR="00A54C48" w:rsidRPr="00A54C48">
        <w:rPr>
          <w:rFonts w:ascii="Bookman Old Style" w:hAnsi="Bookman Old Style"/>
          <w:b/>
          <w:bCs/>
          <w:sz w:val="16"/>
          <w:szCs w:val="16"/>
        </w:rPr>
        <w:t xml:space="preserve">ª ed. </w:t>
      </w:r>
      <w:r w:rsidRPr="00A54C48">
        <w:rPr>
          <w:rFonts w:ascii="Bookman Old Style" w:hAnsi="Bookman Old Style"/>
          <w:b/>
          <w:bCs/>
          <w:sz w:val="16"/>
          <w:szCs w:val="16"/>
        </w:rPr>
        <w:t xml:space="preserve"> Ed</w:t>
      </w:r>
      <w:r w:rsidR="00A54C48" w:rsidRPr="00A54C48">
        <w:rPr>
          <w:rFonts w:ascii="Bookman Old Style" w:hAnsi="Bookman Old Style"/>
          <w:b/>
          <w:bCs/>
          <w:sz w:val="16"/>
          <w:szCs w:val="16"/>
        </w:rPr>
        <w:t>itora</w:t>
      </w:r>
      <w:r w:rsidRPr="00A54C48">
        <w:rPr>
          <w:rFonts w:ascii="Bookman Old Style" w:hAnsi="Bookman Old Style"/>
          <w:b/>
          <w:bCs/>
          <w:sz w:val="16"/>
          <w:szCs w:val="16"/>
        </w:rPr>
        <w:t xml:space="preserve"> Forense, </w:t>
      </w:r>
      <w:r w:rsidR="00A54C48" w:rsidRPr="00A54C48">
        <w:rPr>
          <w:rFonts w:ascii="Bookman Old Style" w:hAnsi="Bookman Old Style"/>
          <w:b/>
          <w:bCs/>
          <w:sz w:val="16"/>
          <w:szCs w:val="16"/>
        </w:rPr>
        <w:t>2014</w:t>
      </w:r>
    </w:p>
  </w:footnote>
  <w:footnote w:id="2">
    <w:p w14:paraId="504FF86C" w14:textId="676E8992" w:rsidR="00A619DA" w:rsidRDefault="00A619DA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B738CA"/>
    <w:multiLevelType w:val="hybridMultilevel"/>
    <w:tmpl w:val="B3E6088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5DE31BD5"/>
    <w:multiLevelType w:val="hybridMultilevel"/>
    <w:tmpl w:val="0A3A8F6C"/>
    <w:lvl w:ilvl="0" w:tplc="55203C70">
      <w:start w:val="1"/>
      <w:numFmt w:val="upperRoman"/>
      <w:lvlText w:val="%1)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CC9"/>
    <w:rsid w:val="00026F7E"/>
    <w:rsid w:val="000413D3"/>
    <w:rsid w:val="00091CA2"/>
    <w:rsid w:val="000A0E98"/>
    <w:rsid w:val="000D7D6B"/>
    <w:rsid w:val="000E6A3C"/>
    <w:rsid w:val="00167FA0"/>
    <w:rsid w:val="00243B6D"/>
    <w:rsid w:val="00254282"/>
    <w:rsid w:val="00263568"/>
    <w:rsid w:val="00267D7A"/>
    <w:rsid w:val="0029392C"/>
    <w:rsid w:val="002D2F64"/>
    <w:rsid w:val="003247D2"/>
    <w:rsid w:val="003703A9"/>
    <w:rsid w:val="003811A9"/>
    <w:rsid w:val="00381FB4"/>
    <w:rsid w:val="003F4FB6"/>
    <w:rsid w:val="00450D20"/>
    <w:rsid w:val="004D2990"/>
    <w:rsid w:val="004E2266"/>
    <w:rsid w:val="00511B16"/>
    <w:rsid w:val="0052726A"/>
    <w:rsid w:val="00545072"/>
    <w:rsid w:val="00577470"/>
    <w:rsid w:val="005939CE"/>
    <w:rsid w:val="005B7A1E"/>
    <w:rsid w:val="005E35F9"/>
    <w:rsid w:val="006C0EF4"/>
    <w:rsid w:val="006C2B24"/>
    <w:rsid w:val="006C6CFD"/>
    <w:rsid w:val="007A7849"/>
    <w:rsid w:val="007C0513"/>
    <w:rsid w:val="007D64ED"/>
    <w:rsid w:val="008062BC"/>
    <w:rsid w:val="00807604"/>
    <w:rsid w:val="008A4E7C"/>
    <w:rsid w:val="008B1CC9"/>
    <w:rsid w:val="008B789B"/>
    <w:rsid w:val="008B7C6B"/>
    <w:rsid w:val="008F2220"/>
    <w:rsid w:val="0092088E"/>
    <w:rsid w:val="0094385E"/>
    <w:rsid w:val="00963001"/>
    <w:rsid w:val="00963C78"/>
    <w:rsid w:val="009808BC"/>
    <w:rsid w:val="009C2236"/>
    <w:rsid w:val="009D5326"/>
    <w:rsid w:val="009D6BC0"/>
    <w:rsid w:val="009F4C40"/>
    <w:rsid w:val="00A079E2"/>
    <w:rsid w:val="00A11163"/>
    <w:rsid w:val="00A4449B"/>
    <w:rsid w:val="00A54C48"/>
    <w:rsid w:val="00A619DA"/>
    <w:rsid w:val="00A95B02"/>
    <w:rsid w:val="00AA0F5D"/>
    <w:rsid w:val="00BA1903"/>
    <w:rsid w:val="00BB0E1C"/>
    <w:rsid w:val="00BF41EB"/>
    <w:rsid w:val="00C221F6"/>
    <w:rsid w:val="00C46670"/>
    <w:rsid w:val="00CB77EA"/>
    <w:rsid w:val="00CC3085"/>
    <w:rsid w:val="00CF227D"/>
    <w:rsid w:val="00CF3A28"/>
    <w:rsid w:val="00D3118B"/>
    <w:rsid w:val="00D46486"/>
    <w:rsid w:val="00D51576"/>
    <w:rsid w:val="00D608F1"/>
    <w:rsid w:val="00D65FF8"/>
    <w:rsid w:val="00E00070"/>
    <w:rsid w:val="00E4184F"/>
    <w:rsid w:val="00E51059"/>
    <w:rsid w:val="00EC5A03"/>
    <w:rsid w:val="00F34F34"/>
    <w:rsid w:val="00F542AC"/>
    <w:rsid w:val="00F605B4"/>
    <w:rsid w:val="00F64510"/>
    <w:rsid w:val="00FA59A2"/>
    <w:rsid w:val="00FB1416"/>
    <w:rsid w:val="00FD3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05F41"/>
  <w15:chartTrackingRefBased/>
  <w15:docId w15:val="{2C03BE7A-4A78-4280-A9C9-668162D9F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D64E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2088E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2088E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208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1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2132C7-E21B-4232-89C7-D56BC19CF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7</Pages>
  <Words>1428</Words>
  <Characters>7716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Antonio Borges das Neves</dc:creator>
  <cp:keywords/>
  <dc:description/>
  <cp:lastModifiedBy>Marco Antonio Borges das Neves</cp:lastModifiedBy>
  <cp:revision>4</cp:revision>
  <dcterms:created xsi:type="dcterms:W3CDTF">2019-06-20T02:25:00Z</dcterms:created>
  <dcterms:modified xsi:type="dcterms:W3CDTF">2019-06-20T11:12:00Z</dcterms:modified>
</cp:coreProperties>
</file>